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DD" w:rsidRPr="0029669F" w:rsidRDefault="00DD22DD" w:rsidP="007F1421">
      <w:pPr>
        <w:jc w:val="center"/>
        <w:rPr>
          <w:rFonts w:asciiTheme="minorBidi" w:hAnsiTheme="minorBidi" w:cstheme="minorBidi"/>
          <w:b/>
          <w:bCs/>
          <w:sz w:val="32"/>
          <w:szCs w:val="32"/>
          <w:rtl/>
        </w:rPr>
      </w:pPr>
      <w:r w:rsidRPr="0029669F">
        <w:rPr>
          <w:rFonts w:asciiTheme="minorBidi" w:hAnsiTheme="minorBidi" w:cstheme="minorBidi"/>
          <w:b/>
          <w:bCs/>
          <w:sz w:val="32"/>
          <w:szCs w:val="32"/>
          <w:rtl/>
        </w:rPr>
        <w:t>1880-0</w:t>
      </w:r>
      <w:r>
        <w:rPr>
          <w:rFonts w:asciiTheme="minorBidi" w:hAnsiTheme="minorBidi" w:cstheme="minorBidi" w:hint="cs"/>
          <w:b/>
          <w:bCs/>
          <w:sz w:val="32"/>
          <w:szCs w:val="32"/>
          <w:rtl/>
        </w:rPr>
        <w:t xml:space="preserve">801 </w:t>
      </w:r>
      <w:r w:rsidRPr="005E0D2D">
        <w:rPr>
          <w:rFonts w:asciiTheme="minorBidi" w:hAnsiTheme="minorBidi" w:cstheme="minorBidi"/>
          <w:b/>
          <w:bCs/>
          <w:sz w:val="32"/>
          <w:szCs w:val="32"/>
          <w:rtl/>
        </w:rPr>
        <w:t>(תש</w:t>
      </w:r>
      <w:r>
        <w:rPr>
          <w:rFonts w:asciiTheme="minorBidi" w:hAnsiTheme="minorBidi" w:cstheme="minorBidi" w:hint="cs"/>
          <w:b/>
          <w:bCs/>
          <w:sz w:val="32"/>
          <w:szCs w:val="32"/>
          <w:rtl/>
        </w:rPr>
        <w:t>פ"</w:t>
      </w:r>
      <w:r w:rsidR="007F1421">
        <w:rPr>
          <w:rFonts w:asciiTheme="minorBidi" w:hAnsiTheme="minorBidi" w:cstheme="minorBidi" w:hint="cs"/>
          <w:b/>
          <w:bCs/>
          <w:sz w:val="32"/>
          <w:szCs w:val="32"/>
          <w:rtl/>
        </w:rPr>
        <w:t>ג</w:t>
      </w:r>
      <w:bookmarkStart w:id="0" w:name="_GoBack"/>
      <w:bookmarkEnd w:id="0"/>
      <w:r w:rsidRPr="005E0D2D">
        <w:rPr>
          <w:rFonts w:asciiTheme="minorBidi" w:hAnsiTheme="minorBidi" w:cstheme="minorBidi"/>
          <w:b/>
          <w:bCs/>
          <w:sz w:val="32"/>
          <w:szCs w:val="32"/>
          <w:rtl/>
        </w:rPr>
        <w:t>)</w:t>
      </w:r>
      <w:r w:rsidRPr="0029669F">
        <w:rPr>
          <w:rFonts w:asciiTheme="minorBidi" w:hAnsiTheme="minorBidi" w:cstheme="minorBidi"/>
          <w:b/>
          <w:bCs/>
          <w:sz w:val="32"/>
          <w:szCs w:val="32"/>
          <w:rtl/>
        </w:rPr>
        <w:t xml:space="preserve"> – </w:t>
      </w:r>
      <w:r>
        <w:rPr>
          <w:rFonts w:asciiTheme="minorBidi" w:hAnsiTheme="minorBidi" w:cstheme="minorBidi" w:hint="cs"/>
          <w:b/>
          <w:bCs/>
          <w:sz w:val="32"/>
          <w:szCs w:val="32"/>
          <w:rtl/>
        </w:rPr>
        <w:t xml:space="preserve">פרופ' אסף </w:t>
      </w:r>
      <w:proofErr w:type="spellStart"/>
      <w:r>
        <w:rPr>
          <w:rFonts w:asciiTheme="minorBidi" w:hAnsiTheme="minorBidi" w:cstheme="minorBidi" w:hint="cs"/>
          <w:b/>
          <w:bCs/>
          <w:sz w:val="32"/>
          <w:szCs w:val="32"/>
          <w:rtl/>
        </w:rPr>
        <w:t>פינקוס</w:t>
      </w:r>
      <w:proofErr w:type="spellEnd"/>
    </w:p>
    <w:p w:rsidR="00DD22DD" w:rsidRPr="0029669F" w:rsidRDefault="00DD22DD" w:rsidP="00DD22DD">
      <w:pPr>
        <w:jc w:val="center"/>
        <w:rPr>
          <w:rFonts w:asciiTheme="minorBidi" w:hAnsiTheme="minorBidi" w:cstheme="minorBidi"/>
          <w:b/>
          <w:bCs/>
          <w:sz w:val="32"/>
          <w:szCs w:val="32"/>
          <w:rtl/>
        </w:rPr>
      </w:pPr>
    </w:p>
    <w:p w:rsidR="00DD22DD" w:rsidRPr="0029669F" w:rsidRDefault="00DD22DD" w:rsidP="00DD22DD">
      <w:pPr>
        <w:jc w:val="center"/>
        <w:rPr>
          <w:rFonts w:asciiTheme="minorBidi" w:hAnsiTheme="minorBidi" w:cstheme="minorBidi"/>
          <w:b/>
          <w:bCs/>
          <w:sz w:val="32"/>
          <w:szCs w:val="32"/>
          <w:rtl/>
        </w:rPr>
      </w:pPr>
      <w:r>
        <w:rPr>
          <w:rFonts w:asciiTheme="minorBidi" w:hAnsiTheme="minorBidi" w:cs="Arial" w:hint="cs"/>
          <w:b/>
          <w:bCs/>
          <w:sz w:val="32"/>
          <w:szCs w:val="32"/>
          <w:rtl/>
        </w:rPr>
        <w:t>סיפור העין: המבט באומנות</w:t>
      </w:r>
    </w:p>
    <w:p w:rsidR="00DD22DD" w:rsidRDefault="00DD22DD" w:rsidP="00DD22DD">
      <w:pPr>
        <w:bidi w:val="0"/>
        <w:jc w:val="center"/>
        <w:rPr>
          <w:rFonts w:asciiTheme="minorBidi" w:hAnsiTheme="minorBidi" w:cstheme="minorBidi"/>
          <w:b/>
          <w:bCs/>
          <w:sz w:val="32"/>
          <w:szCs w:val="32"/>
          <w:rtl/>
        </w:rPr>
      </w:pPr>
      <w:r w:rsidRPr="00DD22DD">
        <w:rPr>
          <w:rFonts w:asciiTheme="minorBidi" w:hAnsiTheme="minorBidi" w:cstheme="minorBidi"/>
          <w:b/>
          <w:bCs/>
          <w:sz w:val="32"/>
          <w:szCs w:val="32"/>
        </w:rPr>
        <w:t>History of the Gaze in the Arts</w:t>
      </w:r>
    </w:p>
    <w:p w:rsidR="00724D41" w:rsidRDefault="00724D41" w:rsidP="00073DDB">
      <w:pPr>
        <w:rPr>
          <w:rtl/>
        </w:rPr>
      </w:pPr>
    </w:p>
    <w:p w:rsidR="00DD22DD" w:rsidRDefault="00DD22DD" w:rsidP="00073DDB">
      <w:pPr>
        <w:rPr>
          <w:rtl/>
        </w:rPr>
      </w:pPr>
    </w:p>
    <w:p w:rsidR="00DD22DD" w:rsidRDefault="00DD22DD" w:rsidP="00073DDB">
      <w:pPr>
        <w:rPr>
          <w:rtl/>
        </w:rPr>
      </w:pPr>
    </w:p>
    <w:p w:rsidR="00DD22DD" w:rsidRDefault="00DD22DD" w:rsidP="00DD22DD">
      <w:pPr>
        <w:spacing w:line="360" w:lineRule="auto"/>
        <w:rPr>
          <w:rFonts w:asciiTheme="majorBidi" w:hAnsiTheme="majorBidi" w:cs="David"/>
          <w:rtl/>
        </w:rPr>
      </w:pPr>
      <w:r w:rsidRPr="00F13140">
        <w:rPr>
          <w:rFonts w:asciiTheme="majorBidi" w:hAnsiTheme="majorBidi" w:cs="David"/>
          <w:b/>
          <w:bCs/>
          <w:u w:val="single"/>
          <w:rtl/>
        </w:rPr>
        <w:t xml:space="preserve">תיאור קורס </w:t>
      </w:r>
      <w:r w:rsidRPr="00F13140">
        <w:rPr>
          <w:rFonts w:asciiTheme="majorBidi" w:hAnsiTheme="majorBidi" w:cs="David"/>
          <w:rtl/>
        </w:rPr>
        <w:t xml:space="preserve"> יצירת האמנות נחוות ומעוצבת על-ידי חילופי מבט: מבטם של הצופים ביצירה, מבטן של הדמויות בתוך היצירה זו לעבר זו, ומבטן מחוצה לה לעבר הצופים.  מבט זה אינו פרמטר קבוע, אלא תפקודו תלוי בשיח התרבות של תקופה נתונה. הקורס ייבחן תיאוריות ראייה שעמדו במרכז הדיון הפילוסופי והתיאולוגי החל מאמנות יוון ועד ימינו וידון בהשפעתן על הניסיון והשיח האומנותיים תוך התייחסות למספר חטיבות מרכזיות</w:t>
      </w:r>
    </w:p>
    <w:p w:rsidR="00DD22DD" w:rsidRPr="00F13140" w:rsidRDefault="00DD22DD" w:rsidP="00DD22DD">
      <w:pPr>
        <w:spacing w:line="360" w:lineRule="auto"/>
        <w:rPr>
          <w:rFonts w:asciiTheme="majorBidi" w:hAnsiTheme="majorBidi" w:cs="David"/>
          <w:rtl/>
        </w:rPr>
      </w:pPr>
    </w:p>
    <w:p w:rsidR="00DD22DD" w:rsidRDefault="00DD22DD" w:rsidP="00DD22DD">
      <w:pPr>
        <w:spacing w:line="360" w:lineRule="auto"/>
        <w:rPr>
          <w:rFonts w:asciiTheme="majorBidi" w:hAnsiTheme="majorBidi" w:cs="David"/>
          <w:rtl/>
        </w:rPr>
      </w:pPr>
      <w:r w:rsidRPr="00F13140">
        <w:rPr>
          <w:rFonts w:asciiTheme="majorBidi" w:hAnsiTheme="majorBidi" w:cs="David"/>
          <w:b/>
          <w:bCs/>
          <w:u w:val="single"/>
          <w:rtl/>
        </w:rPr>
        <w:t>דרישות הקורס</w:t>
      </w:r>
      <w:r w:rsidRPr="00F13140">
        <w:rPr>
          <w:rFonts w:asciiTheme="majorBidi" w:hAnsiTheme="majorBidi" w:cs="David"/>
          <w:rtl/>
        </w:rPr>
        <w:t xml:space="preserve"> </w:t>
      </w:r>
    </w:p>
    <w:p w:rsidR="00DD22DD" w:rsidRDefault="00DD22DD" w:rsidP="00DD22DD">
      <w:pPr>
        <w:pStyle w:val="a8"/>
        <w:numPr>
          <w:ilvl w:val="0"/>
          <w:numId w:val="4"/>
        </w:numPr>
        <w:spacing w:after="200" w:line="360" w:lineRule="auto"/>
        <w:rPr>
          <w:rFonts w:asciiTheme="majorBidi" w:hAnsiTheme="majorBidi" w:cs="David"/>
        </w:rPr>
      </w:pPr>
      <w:r>
        <w:rPr>
          <w:rFonts w:asciiTheme="majorBidi" w:hAnsiTheme="majorBidi" w:cs="David" w:hint="cs"/>
          <w:rtl/>
        </w:rPr>
        <w:t>הגשת שתי</w:t>
      </w:r>
      <w:r w:rsidRPr="00F13140">
        <w:rPr>
          <w:rFonts w:asciiTheme="majorBidi" w:hAnsiTheme="majorBidi" w:cs="David"/>
          <w:rtl/>
        </w:rPr>
        <w:t xml:space="preserve"> מטלות מכלל מטלות הקורס המופיעות באתר</w:t>
      </w:r>
      <w:r>
        <w:rPr>
          <w:rFonts w:asciiTheme="majorBidi" w:hAnsiTheme="majorBidi" w:cs="David" w:hint="cs"/>
          <w:rtl/>
        </w:rPr>
        <w:t xml:space="preserve"> הקורס, בהתאם לדרישת המנחה.</w:t>
      </w:r>
    </w:p>
    <w:p w:rsidR="00DD22DD" w:rsidRPr="00F13140" w:rsidRDefault="00DD22DD" w:rsidP="00DD22DD">
      <w:pPr>
        <w:pStyle w:val="a8"/>
        <w:numPr>
          <w:ilvl w:val="0"/>
          <w:numId w:val="4"/>
        </w:numPr>
        <w:spacing w:before="100" w:beforeAutospacing="1" w:after="100" w:afterAutospacing="1" w:line="360" w:lineRule="auto"/>
        <w:rPr>
          <w:rFonts w:asciiTheme="majorBidi" w:hAnsiTheme="majorBidi" w:cs="David"/>
        </w:rPr>
      </w:pPr>
      <w:r w:rsidRPr="00F13140">
        <w:rPr>
          <w:rFonts w:asciiTheme="majorBidi" w:hAnsiTheme="majorBidi" w:cs="David" w:hint="cs"/>
          <w:rtl/>
        </w:rPr>
        <w:t>קריאת חובה:</w:t>
      </w:r>
      <w:r>
        <w:rPr>
          <w:rFonts w:asciiTheme="majorBidi" w:hAnsiTheme="majorBidi" w:cs="David" w:hint="cs"/>
          <w:rtl/>
        </w:rPr>
        <w:t xml:space="preserve"> בתחילת הסמסטר</w:t>
      </w:r>
      <w:r w:rsidRPr="00F13140">
        <w:rPr>
          <w:rFonts w:asciiTheme="majorBidi" w:hAnsiTheme="majorBidi" w:cs="David"/>
          <w:rtl/>
        </w:rPr>
        <w:t xml:space="preserve"> </w:t>
      </w:r>
      <w:r>
        <w:rPr>
          <w:rFonts w:asciiTheme="majorBidi" w:hAnsiTheme="majorBidi" w:cs="David" w:hint="cs"/>
          <w:rtl/>
        </w:rPr>
        <w:t>יצוינו שני מאמרי חובה מתוך רשימת הקר</w:t>
      </w:r>
      <w:r w:rsidRPr="00F13140">
        <w:rPr>
          <w:rFonts w:asciiTheme="majorBidi" w:hAnsiTheme="majorBidi" w:cs="David"/>
          <w:rtl/>
        </w:rPr>
        <w:t xml:space="preserve">יאה </w:t>
      </w:r>
      <w:r>
        <w:rPr>
          <w:rFonts w:asciiTheme="majorBidi" w:hAnsiTheme="majorBidi" w:cs="David" w:hint="cs"/>
          <w:rtl/>
        </w:rPr>
        <w:t>ה</w:t>
      </w:r>
      <w:r w:rsidRPr="00F13140">
        <w:rPr>
          <w:rFonts w:asciiTheme="majorBidi" w:hAnsiTheme="majorBidi" w:cs="David"/>
          <w:rtl/>
        </w:rPr>
        <w:t>מומלצת</w:t>
      </w:r>
      <w:r>
        <w:rPr>
          <w:rFonts w:asciiTheme="majorBidi" w:hAnsiTheme="majorBidi" w:cs="David" w:hint="cs"/>
          <w:rtl/>
        </w:rPr>
        <w:t xml:space="preserve"> המופיעה מטה, אשר יופיעו בבחינה</w:t>
      </w:r>
    </w:p>
    <w:p w:rsidR="00DD22DD" w:rsidRDefault="00DD22DD" w:rsidP="00DD22DD">
      <w:pPr>
        <w:spacing w:before="100" w:beforeAutospacing="1" w:after="100" w:afterAutospacing="1" w:line="360" w:lineRule="auto"/>
        <w:rPr>
          <w:rFonts w:asciiTheme="majorBidi" w:hAnsiTheme="majorBidi" w:cs="David"/>
          <w:b/>
          <w:bCs/>
          <w:u w:val="single"/>
          <w:rtl/>
        </w:rPr>
      </w:pPr>
    </w:p>
    <w:p w:rsidR="00DD22DD" w:rsidRPr="00F13140" w:rsidRDefault="00DD22DD" w:rsidP="00DD22DD">
      <w:pPr>
        <w:spacing w:before="100" w:beforeAutospacing="1" w:after="100" w:afterAutospacing="1" w:line="360" w:lineRule="auto"/>
        <w:rPr>
          <w:rFonts w:asciiTheme="majorBidi" w:hAnsiTheme="majorBidi" w:cs="David"/>
          <w:rtl/>
        </w:rPr>
      </w:pPr>
      <w:r w:rsidRPr="00F13140">
        <w:rPr>
          <w:rFonts w:asciiTheme="majorBidi" w:hAnsiTheme="majorBidi" w:cs="David"/>
          <w:b/>
          <w:bCs/>
          <w:u w:val="single"/>
          <w:rtl/>
        </w:rPr>
        <w:t>מרכיבי הציון הסופי:</w:t>
      </w:r>
      <w:r w:rsidRPr="00F13140">
        <w:rPr>
          <w:rFonts w:asciiTheme="majorBidi" w:hAnsiTheme="majorBidi" w:cs="David"/>
          <w:rtl/>
        </w:rPr>
        <w:t xml:space="preserve"> הציון הסופי </w:t>
      </w:r>
      <w:r>
        <w:rPr>
          <w:rFonts w:asciiTheme="majorBidi" w:hAnsiTheme="majorBidi" w:cs="David" w:hint="cs"/>
          <w:rtl/>
        </w:rPr>
        <w:t>יורכב מצי</w:t>
      </w:r>
      <w:r w:rsidRPr="00F13140">
        <w:rPr>
          <w:rFonts w:asciiTheme="majorBidi" w:hAnsiTheme="majorBidi" w:cs="David"/>
          <w:rtl/>
        </w:rPr>
        <w:t xml:space="preserve">ון הבחינה </w:t>
      </w:r>
      <w:r>
        <w:rPr>
          <w:rFonts w:asciiTheme="majorBidi" w:hAnsiTheme="majorBidi" w:cs="David" w:hint="cs"/>
          <w:rtl/>
        </w:rPr>
        <w:t>(80%)  ו</w:t>
      </w:r>
      <w:r w:rsidRPr="00F13140">
        <w:rPr>
          <w:rFonts w:asciiTheme="majorBidi" w:hAnsiTheme="majorBidi" w:cs="David"/>
          <w:rtl/>
        </w:rPr>
        <w:t>ש</w:t>
      </w:r>
      <w:r>
        <w:rPr>
          <w:rFonts w:asciiTheme="majorBidi" w:hAnsiTheme="majorBidi" w:cs="David" w:hint="cs"/>
          <w:rtl/>
        </w:rPr>
        <w:t>תי</w:t>
      </w:r>
      <w:r w:rsidRPr="00F13140">
        <w:rPr>
          <w:rFonts w:asciiTheme="majorBidi" w:hAnsiTheme="majorBidi" w:cs="David"/>
          <w:rtl/>
        </w:rPr>
        <w:t xml:space="preserve"> </w:t>
      </w:r>
      <w:r>
        <w:rPr>
          <w:rFonts w:asciiTheme="majorBidi" w:hAnsiTheme="majorBidi" w:cs="David" w:hint="cs"/>
          <w:rtl/>
        </w:rPr>
        <w:t>ה</w:t>
      </w:r>
      <w:r w:rsidRPr="00F13140">
        <w:rPr>
          <w:rFonts w:asciiTheme="majorBidi" w:hAnsiTheme="majorBidi" w:cs="David"/>
          <w:rtl/>
        </w:rPr>
        <w:t xml:space="preserve">מטלות </w:t>
      </w:r>
      <w:r>
        <w:rPr>
          <w:rFonts w:asciiTheme="majorBidi" w:hAnsiTheme="majorBidi" w:cs="David" w:hint="cs"/>
          <w:rtl/>
        </w:rPr>
        <w:t xml:space="preserve">(20%). </w:t>
      </w:r>
    </w:p>
    <w:p w:rsidR="00DD22DD" w:rsidRPr="0011520A" w:rsidRDefault="00DD22DD" w:rsidP="00DD22DD">
      <w:pPr>
        <w:spacing w:before="100" w:beforeAutospacing="1" w:after="100" w:afterAutospacing="1" w:line="360" w:lineRule="auto"/>
        <w:rPr>
          <w:rFonts w:asciiTheme="majorBidi" w:hAnsiTheme="majorBidi" w:cs="David"/>
          <w:lang w:val="it-IT"/>
        </w:rPr>
      </w:pPr>
      <w:r w:rsidRPr="00F13140">
        <w:rPr>
          <w:rFonts w:asciiTheme="majorBidi" w:hAnsiTheme="majorBidi" w:cs="David"/>
          <w:b/>
          <w:bCs/>
          <w:u w:val="single"/>
          <w:rtl/>
        </w:rPr>
        <w:t>בחינה</w:t>
      </w:r>
      <w:r w:rsidRPr="00F13140">
        <w:rPr>
          <w:rFonts w:asciiTheme="majorBidi" w:hAnsiTheme="majorBidi" w:cs="David"/>
          <w:rtl/>
        </w:rPr>
        <w:t>: חלקה הראשון של הבחינה  יורכב מזיהוי היצירות הנלמדות. חלק זה יבדוק את בקיאות הסטודנטים בחומר הוויזואלי. חלקה השני של הבחינה יהיה בחינת רב ברירה. השאלות יבדקו בקיאות</w:t>
      </w:r>
      <w:r>
        <w:rPr>
          <w:rFonts w:asciiTheme="majorBidi" w:hAnsiTheme="majorBidi" w:cs="David" w:hint="cs"/>
          <w:rtl/>
        </w:rPr>
        <w:t xml:space="preserve">, הבנה </w:t>
      </w:r>
      <w:r>
        <w:rPr>
          <w:rFonts w:asciiTheme="majorBidi" w:hAnsiTheme="majorBidi" w:cs="David"/>
          <w:rtl/>
        </w:rPr>
        <w:t>ויישום החומר הנלמד</w:t>
      </w:r>
      <w:r>
        <w:rPr>
          <w:rFonts w:asciiTheme="majorBidi" w:hAnsiTheme="majorBidi" w:cs="David" w:hint="cs"/>
          <w:rtl/>
        </w:rPr>
        <w:t>.</w:t>
      </w:r>
      <w:r w:rsidRPr="00F13140">
        <w:rPr>
          <w:rFonts w:asciiTheme="majorBidi" w:hAnsiTheme="majorBidi" w:cs="David"/>
          <w:rtl/>
        </w:rPr>
        <w:t xml:space="preserve"> כמו</w:t>
      </w:r>
      <w:r>
        <w:rPr>
          <w:rFonts w:asciiTheme="majorBidi" w:hAnsiTheme="majorBidi" w:cs="David" w:hint="cs"/>
          <w:rtl/>
        </w:rPr>
        <w:t xml:space="preserve"> כן, ה</w:t>
      </w:r>
      <w:r w:rsidRPr="00F13140">
        <w:rPr>
          <w:rFonts w:asciiTheme="majorBidi" w:hAnsiTheme="majorBidi" w:cs="David"/>
          <w:rtl/>
        </w:rPr>
        <w:t xml:space="preserve">שאלות </w:t>
      </w:r>
      <w:r>
        <w:rPr>
          <w:rFonts w:asciiTheme="majorBidi" w:hAnsiTheme="majorBidi" w:cs="David" w:hint="cs"/>
          <w:rtl/>
        </w:rPr>
        <w:t xml:space="preserve">יתייחסו </w:t>
      </w:r>
      <w:r w:rsidRPr="00F13140">
        <w:rPr>
          <w:rFonts w:asciiTheme="majorBidi" w:hAnsiTheme="majorBidi" w:cs="David"/>
          <w:rtl/>
        </w:rPr>
        <w:t xml:space="preserve">לבעיות תיאורטיות של התחום ולחומר </w:t>
      </w:r>
      <w:r>
        <w:rPr>
          <w:rFonts w:asciiTheme="majorBidi" w:hAnsiTheme="majorBidi" w:cs="David" w:hint="cs"/>
          <w:rtl/>
        </w:rPr>
        <w:t>ה</w:t>
      </w:r>
      <w:r w:rsidRPr="00F13140">
        <w:rPr>
          <w:rFonts w:asciiTheme="majorBidi" w:hAnsiTheme="majorBidi" w:cs="David"/>
          <w:rtl/>
        </w:rPr>
        <w:t>קריאה שנדרש במהלך הסמסטר.</w:t>
      </w:r>
    </w:p>
    <w:p w:rsidR="00DD22DD" w:rsidRPr="00F13140" w:rsidRDefault="00DD22DD" w:rsidP="00DD22DD">
      <w:pPr>
        <w:rPr>
          <w:rFonts w:asciiTheme="majorBidi" w:hAnsiTheme="majorBidi" w:cs="David"/>
          <w:b/>
          <w:bCs/>
          <w:rtl/>
        </w:rPr>
      </w:pPr>
      <w:r w:rsidRPr="00F13140">
        <w:rPr>
          <w:rFonts w:asciiTheme="majorBidi" w:hAnsiTheme="majorBidi" w:cs="David"/>
          <w:b/>
          <w:bCs/>
          <w:rtl/>
        </w:rPr>
        <w:t>רשימת קריאה בהתאם להתקדמות הדיון בכיתה:</w:t>
      </w:r>
    </w:p>
    <w:p w:rsidR="00DD22DD" w:rsidRPr="00F13140" w:rsidRDefault="00DD22DD" w:rsidP="00DD22DD">
      <w:pPr>
        <w:numPr>
          <w:ilvl w:val="0"/>
          <w:numId w:val="3"/>
        </w:numPr>
        <w:ind w:right="0"/>
        <w:rPr>
          <w:rFonts w:asciiTheme="majorBidi" w:hAnsiTheme="majorBidi" w:cs="David"/>
          <w:b/>
          <w:bCs/>
        </w:rPr>
      </w:pPr>
      <w:r w:rsidRPr="00F13140">
        <w:rPr>
          <w:rFonts w:asciiTheme="majorBidi" w:hAnsiTheme="majorBidi" w:cs="David"/>
          <w:b/>
          <w:bCs/>
          <w:u w:val="single"/>
          <w:rtl/>
        </w:rPr>
        <w:t xml:space="preserve">מבוא: כוחו של מבט; נערות החצר </w:t>
      </w:r>
      <w:proofErr w:type="spellStart"/>
      <w:r w:rsidRPr="00F13140">
        <w:rPr>
          <w:rFonts w:asciiTheme="majorBidi" w:hAnsiTheme="majorBidi" w:cs="David"/>
          <w:b/>
          <w:bCs/>
          <w:u w:val="single"/>
          <w:rtl/>
        </w:rPr>
        <w:t>לולסקז</w:t>
      </w:r>
      <w:proofErr w:type="spellEnd"/>
      <w:r w:rsidRPr="00F13140">
        <w:rPr>
          <w:rFonts w:asciiTheme="majorBidi" w:hAnsiTheme="majorBidi" w:cs="David"/>
          <w:b/>
          <w:bCs/>
          <w:rtl/>
        </w:rPr>
        <w:t>:</w:t>
      </w:r>
    </w:p>
    <w:p w:rsidR="00DD22DD" w:rsidRPr="00F13140" w:rsidRDefault="00DD22DD" w:rsidP="00DD22DD">
      <w:pPr>
        <w:bidi w:val="0"/>
        <w:rPr>
          <w:rFonts w:asciiTheme="majorBidi" w:hAnsiTheme="majorBidi" w:cs="David"/>
        </w:rPr>
      </w:pPr>
      <w:r w:rsidRPr="00F13140">
        <w:rPr>
          <w:rFonts w:asciiTheme="majorBidi" w:hAnsiTheme="majorBidi" w:cs="David"/>
        </w:rPr>
        <w:t xml:space="preserve">Svetlana </w:t>
      </w:r>
      <w:proofErr w:type="spellStart"/>
      <w:r w:rsidRPr="00F13140">
        <w:rPr>
          <w:rFonts w:asciiTheme="majorBidi" w:hAnsiTheme="majorBidi" w:cs="David"/>
        </w:rPr>
        <w:t>Alpers</w:t>
      </w:r>
      <w:proofErr w:type="spellEnd"/>
      <w:r w:rsidRPr="00F13140">
        <w:rPr>
          <w:rFonts w:asciiTheme="majorBidi" w:hAnsiTheme="majorBidi" w:cs="David"/>
        </w:rPr>
        <w:t xml:space="preserve">, “Interpretation without Representation, or, the Viewing of </w:t>
      </w:r>
      <w:r w:rsidRPr="00F13140">
        <w:rPr>
          <w:rFonts w:asciiTheme="majorBidi" w:hAnsiTheme="majorBidi" w:cs="David"/>
          <w:i/>
          <w:iCs/>
        </w:rPr>
        <w:t xml:space="preserve">Las </w:t>
      </w:r>
      <w:proofErr w:type="spellStart"/>
      <w:r w:rsidRPr="00F13140">
        <w:rPr>
          <w:rFonts w:asciiTheme="majorBidi" w:hAnsiTheme="majorBidi" w:cs="David"/>
          <w:i/>
          <w:iCs/>
        </w:rPr>
        <w:t>Meninas</w:t>
      </w:r>
      <w:proofErr w:type="spellEnd"/>
      <w:r w:rsidRPr="00F13140">
        <w:rPr>
          <w:rFonts w:asciiTheme="majorBidi" w:hAnsiTheme="majorBidi" w:cs="David"/>
        </w:rPr>
        <w:t>,”</w:t>
      </w:r>
      <w:r w:rsidRPr="00F13140">
        <w:rPr>
          <w:rFonts w:asciiTheme="majorBidi" w:hAnsiTheme="majorBidi" w:cs="David"/>
          <w:i/>
          <w:iCs/>
        </w:rPr>
        <w:t>Representations</w:t>
      </w:r>
      <w:r w:rsidRPr="00F13140">
        <w:rPr>
          <w:rFonts w:asciiTheme="majorBidi" w:hAnsiTheme="majorBidi" w:cs="David"/>
        </w:rPr>
        <w:t xml:space="preserve"> 1:1 (1983), 31-42. </w:t>
      </w:r>
    </w:p>
    <w:p w:rsidR="00DD22DD" w:rsidRPr="00F13140" w:rsidRDefault="00DD22DD" w:rsidP="00DD22DD">
      <w:pPr>
        <w:bidi w:val="0"/>
        <w:rPr>
          <w:rFonts w:asciiTheme="majorBidi" w:hAnsiTheme="majorBidi" w:cs="David"/>
        </w:rPr>
      </w:pPr>
      <w:r w:rsidRPr="00F13140">
        <w:rPr>
          <w:rFonts w:asciiTheme="majorBidi" w:hAnsiTheme="majorBidi" w:cs="David"/>
        </w:rPr>
        <w:t xml:space="preserve">Michel Foucault, “Las </w:t>
      </w:r>
      <w:proofErr w:type="spellStart"/>
      <w:r w:rsidRPr="00F13140">
        <w:rPr>
          <w:rFonts w:asciiTheme="majorBidi" w:hAnsiTheme="majorBidi" w:cs="David"/>
        </w:rPr>
        <w:t>Meninas</w:t>
      </w:r>
      <w:proofErr w:type="spellEnd"/>
      <w:r w:rsidRPr="00F13140">
        <w:rPr>
          <w:rFonts w:asciiTheme="majorBidi" w:hAnsiTheme="majorBidi" w:cs="David"/>
        </w:rPr>
        <w:t xml:space="preserve">,” in </w:t>
      </w:r>
      <w:r w:rsidRPr="00F13140">
        <w:rPr>
          <w:rFonts w:asciiTheme="majorBidi" w:hAnsiTheme="majorBidi" w:cs="David"/>
          <w:i/>
          <w:iCs/>
        </w:rPr>
        <w:t>The Order of Things an Archaeology of the Human Sciences</w:t>
      </w:r>
      <w:r w:rsidRPr="00F13140">
        <w:rPr>
          <w:rFonts w:asciiTheme="majorBidi" w:hAnsiTheme="majorBidi" w:cs="David"/>
        </w:rPr>
        <w:t xml:space="preserve"> (London, 1970). </w:t>
      </w:r>
    </w:p>
    <w:p w:rsidR="00DD22DD" w:rsidRPr="00F13140" w:rsidRDefault="00DD22DD" w:rsidP="00DD22DD">
      <w:pPr>
        <w:bidi w:val="0"/>
        <w:rPr>
          <w:rFonts w:asciiTheme="majorBidi" w:hAnsiTheme="majorBidi" w:cs="David"/>
        </w:rPr>
      </w:pPr>
      <w:r w:rsidRPr="00F13140">
        <w:rPr>
          <w:rFonts w:asciiTheme="majorBidi" w:hAnsiTheme="majorBidi" w:cs="David"/>
        </w:rPr>
        <w:t xml:space="preserve">Joel Snyder, "Las </w:t>
      </w:r>
      <w:proofErr w:type="spellStart"/>
      <w:r w:rsidRPr="00F13140">
        <w:rPr>
          <w:rFonts w:asciiTheme="majorBidi" w:hAnsiTheme="majorBidi" w:cs="David"/>
        </w:rPr>
        <w:t>Meninas</w:t>
      </w:r>
      <w:proofErr w:type="spellEnd"/>
      <w:r w:rsidRPr="00F13140">
        <w:rPr>
          <w:rFonts w:asciiTheme="majorBidi" w:hAnsiTheme="majorBidi" w:cs="David"/>
        </w:rPr>
        <w:t xml:space="preserve"> and the Mirror of the Prince," </w:t>
      </w:r>
      <w:r w:rsidRPr="00F13140">
        <w:rPr>
          <w:rFonts w:asciiTheme="majorBidi" w:hAnsiTheme="majorBidi" w:cs="David"/>
          <w:i/>
          <w:iCs/>
        </w:rPr>
        <w:t>Critical Inquiry</w:t>
      </w:r>
      <w:r w:rsidRPr="00F13140">
        <w:rPr>
          <w:rFonts w:asciiTheme="majorBidi" w:hAnsiTheme="majorBidi" w:cs="David"/>
        </w:rPr>
        <w:t>, 11/4 (1985), pp. 539-572.</w:t>
      </w:r>
    </w:p>
    <w:p w:rsidR="00DD22DD" w:rsidRPr="00F13140" w:rsidRDefault="00DD22DD" w:rsidP="00DD22DD">
      <w:pPr>
        <w:numPr>
          <w:ilvl w:val="0"/>
          <w:numId w:val="3"/>
        </w:numPr>
        <w:ind w:right="0"/>
        <w:rPr>
          <w:rFonts w:asciiTheme="majorBidi" w:hAnsiTheme="majorBidi" w:cs="David"/>
          <w:b/>
          <w:bCs/>
          <w:u w:val="single"/>
        </w:rPr>
      </w:pPr>
      <w:r w:rsidRPr="00F13140">
        <w:rPr>
          <w:rFonts w:asciiTheme="majorBidi" w:hAnsiTheme="majorBidi" w:cs="David"/>
          <w:b/>
          <w:bCs/>
          <w:u w:val="single"/>
          <w:rtl/>
        </w:rPr>
        <w:t>מוות בעיניים: מבטה של מדוזה:</w:t>
      </w:r>
    </w:p>
    <w:p w:rsidR="00DD22DD" w:rsidRPr="00F13140" w:rsidRDefault="00DD22DD" w:rsidP="00DD22DD">
      <w:pPr>
        <w:bidi w:val="0"/>
        <w:rPr>
          <w:rFonts w:asciiTheme="majorBidi" w:hAnsiTheme="majorBidi" w:cs="David"/>
        </w:rPr>
      </w:pPr>
      <w:r w:rsidRPr="00F13140">
        <w:rPr>
          <w:rFonts w:asciiTheme="majorBidi" w:hAnsiTheme="majorBidi" w:cs="David"/>
        </w:rPr>
        <w:t xml:space="preserve">Rainer Mack, “Facing Down Medusa,” </w:t>
      </w:r>
      <w:r w:rsidRPr="00F13140">
        <w:rPr>
          <w:rFonts w:asciiTheme="majorBidi" w:hAnsiTheme="majorBidi" w:cs="David"/>
          <w:i/>
          <w:iCs/>
        </w:rPr>
        <w:t>Art History</w:t>
      </w:r>
      <w:r w:rsidRPr="00F13140">
        <w:rPr>
          <w:rFonts w:asciiTheme="majorBidi" w:hAnsiTheme="majorBidi" w:cs="David"/>
        </w:rPr>
        <w:t xml:space="preserve"> 25/5 (2002), 571-604.</w:t>
      </w:r>
    </w:p>
    <w:p w:rsidR="00DD22DD" w:rsidRPr="00F13140" w:rsidRDefault="00DD22DD" w:rsidP="00DD22DD">
      <w:pPr>
        <w:bidi w:val="0"/>
        <w:rPr>
          <w:rFonts w:asciiTheme="majorBidi" w:hAnsiTheme="majorBidi" w:cs="David"/>
        </w:rPr>
      </w:pPr>
      <w:r w:rsidRPr="00F13140">
        <w:rPr>
          <w:rFonts w:asciiTheme="majorBidi" w:hAnsiTheme="majorBidi" w:cs="David"/>
        </w:rPr>
        <w:t xml:space="preserve">Laura </w:t>
      </w:r>
      <w:proofErr w:type="spellStart"/>
      <w:r w:rsidRPr="00F13140">
        <w:rPr>
          <w:rFonts w:asciiTheme="majorBidi" w:hAnsiTheme="majorBidi" w:cs="David"/>
        </w:rPr>
        <w:t>Mulvey</w:t>
      </w:r>
      <w:proofErr w:type="spellEnd"/>
      <w:r w:rsidRPr="00F13140">
        <w:rPr>
          <w:rFonts w:asciiTheme="majorBidi" w:hAnsiTheme="majorBidi" w:cs="David"/>
        </w:rPr>
        <w:t xml:space="preserve">, “Visual Pleasure and Narrative Cinema,” </w:t>
      </w:r>
      <w:r w:rsidRPr="00F13140">
        <w:rPr>
          <w:rFonts w:asciiTheme="majorBidi" w:hAnsiTheme="majorBidi" w:cs="David"/>
          <w:i/>
          <w:iCs/>
        </w:rPr>
        <w:t>Screen</w:t>
      </w:r>
      <w:r w:rsidRPr="00F13140">
        <w:rPr>
          <w:rFonts w:asciiTheme="majorBidi" w:hAnsiTheme="majorBidi" w:cs="David"/>
        </w:rPr>
        <w:t xml:space="preserve"> 16:3 (1975), 6-18. </w:t>
      </w:r>
    </w:p>
    <w:p w:rsidR="00DD22DD" w:rsidRPr="00F13140" w:rsidRDefault="00DD22DD" w:rsidP="00DD22DD">
      <w:pPr>
        <w:numPr>
          <w:ilvl w:val="0"/>
          <w:numId w:val="3"/>
        </w:numPr>
        <w:rPr>
          <w:rFonts w:asciiTheme="majorBidi" w:hAnsiTheme="majorBidi" w:cs="David"/>
          <w:b/>
          <w:bCs/>
          <w:u w:val="single"/>
        </w:rPr>
      </w:pPr>
      <w:r w:rsidRPr="00F13140">
        <w:rPr>
          <w:rFonts w:asciiTheme="majorBidi" w:hAnsiTheme="majorBidi" w:cs="David"/>
          <w:b/>
          <w:bCs/>
          <w:u w:val="single"/>
          <w:rtl/>
        </w:rPr>
        <w:t>סמיוטיקה ודיוקן</w:t>
      </w:r>
    </w:p>
    <w:p w:rsidR="00DD22DD" w:rsidRPr="00F13140" w:rsidRDefault="00DD22DD" w:rsidP="00DD22DD">
      <w:pPr>
        <w:bidi w:val="0"/>
        <w:rPr>
          <w:rFonts w:asciiTheme="majorBidi" w:hAnsiTheme="majorBidi" w:cs="David"/>
        </w:rPr>
      </w:pPr>
      <w:r w:rsidRPr="00F13140">
        <w:rPr>
          <w:rFonts w:asciiTheme="majorBidi" w:hAnsiTheme="majorBidi" w:cs="David"/>
        </w:rPr>
        <w:t xml:space="preserve">Vernon Hyde, Minor, </w:t>
      </w:r>
      <w:r w:rsidRPr="00F13140">
        <w:rPr>
          <w:rFonts w:asciiTheme="majorBidi" w:hAnsiTheme="majorBidi" w:cs="David"/>
          <w:i/>
          <w:iCs/>
        </w:rPr>
        <w:t>Art History's History</w:t>
      </w:r>
      <w:r w:rsidRPr="00F13140">
        <w:rPr>
          <w:rFonts w:asciiTheme="majorBidi" w:hAnsiTheme="majorBidi" w:cs="David"/>
        </w:rPr>
        <w:t xml:space="preserve"> (New Jersey, 1994), 171-193. </w:t>
      </w:r>
    </w:p>
    <w:p w:rsidR="00DD22DD" w:rsidRPr="00F13140" w:rsidRDefault="00DD22DD" w:rsidP="00DD22DD">
      <w:pPr>
        <w:numPr>
          <w:ilvl w:val="0"/>
          <w:numId w:val="3"/>
        </w:numPr>
        <w:ind w:right="0"/>
        <w:rPr>
          <w:rFonts w:asciiTheme="majorBidi" w:hAnsiTheme="majorBidi" w:cs="David"/>
          <w:b/>
          <w:bCs/>
          <w:u w:val="single"/>
        </w:rPr>
      </w:pPr>
      <w:r w:rsidRPr="00F13140">
        <w:rPr>
          <w:rFonts w:asciiTheme="majorBidi" w:hAnsiTheme="majorBidi" w:cs="David"/>
          <w:b/>
          <w:bCs/>
          <w:u w:val="single"/>
          <w:rtl/>
        </w:rPr>
        <w:lastRenderedPageBreak/>
        <w:t>בין ראליזם ונטורליזם</w:t>
      </w:r>
    </w:p>
    <w:p w:rsidR="00DD22DD" w:rsidRPr="00F13140" w:rsidRDefault="00DD22DD" w:rsidP="00DD22DD">
      <w:pPr>
        <w:bidi w:val="0"/>
        <w:rPr>
          <w:rFonts w:asciiTheme="majorBidi" w:hAnsiTheme="majorBidi" w:cs="David"/>
          <w:color w:val="000000"/>
        </w:rPr>
      </w:pPr>
      <w:r w:rsidRPr="00F13140">
        <w:rPr>
          <w:rFonts w:asciiTheme="majorBidi" w:hAnsiTheme="majorBidi" w:cs="David"/>
        </w:rPr>
        <w:t xml:space="preserve">Jas </w:t>
      </w:r>
      <w:proofErr w:type="spellStart"/>
      <w:r w:rsidRPr="00F13140">
        <w:rPr>
          <w:rFonts w:asciiTheme="majorBidi" w:hAnsiTheme="majorBidi" w:cs="David"/>
        </w:rPr>
        <w:t>Elsner</w:t>
      </w:r>
      <w:proofErr w:type="spellEnd"/>
      <w:r w:rsidRPr="00F13140">
        <w:rPr>
          <w:rFonts w:asciiTheme="majorBidi" w:hAnsiTheme="majorBidi" w:cs="David"/>
        </w:rPr>
        <w:t xml:space="preserve">, </w:t>
      </w:r>
      <w:r w:rsidRPr="00F13140">
        <w:rPr>
          <w:rFonts w:asciiTheme="majorBidi" w:hAnsiTheme="majorBidi" w:cs="David"/>
          <w:i/>
          <w:iCs/>
          <w:color w:val="000000"/>
          <w:shd w:val="clear" w:color="auto" w:fill="FFFFFF"/>
        </w:rPr>
        <w:t>Art and the Roman Viewer: The Transformation of Art from the Pagan world to Christianity</w:t>
      </w:r>
      <w:r w:rsidRPr="00F13140">
        <w:rPr>
          <w:rFonts w:asciiTheme="majorBidi" w:hAnsiTheme="majorBidi" w:cs="David"/>
          <w:color w:val="000000"/>
        </w:rPr>
        <w:t xml:space="preserve"> (Cambridge, 1995), 21-48. </w:t>
      </w:r>
    </w:p>
    <w:p w:rsidR="00DD22DD" w:rsidRPr="00F13140" w:rsidRDefault="00DD22DD" w:rsidP="00DD22DD">
      <w:pPr>
        <w:numPr>
          <w:ilvl w:val="0"/>
          <w:numId w:val="3"/>
        </w:numPr>
        <w:ind w:right="0"/>
        <w:rPr>
          <w:rFonts w:asciiTheme="majorBidi" w:hAnsiTheme="majorBidi" w:cs="David"/>
          <w:b/>
          <w:bCs/>
          <w:rtl/>
        </w:rPr>
      </w:pPr>
      <w:r w:rsidRPr="00F13140">
        <w:rPr>
          <w:rFonts w:asciiTheme="majorBidi" w:hAnsiTheme="majorBidi" w:cs="David"/>
          <w:b/>
          <w:bCs/>
          <w:u w:val="single"/>
          <w:rtl/>
        </w:rPr>
        <w:t>האיקונה</w:t>
      </w:r>
      <w:r w:rsidRPr="00F13140">
        <w:rPr>
          <w:rFonts w:asciiTheme="majorBidi" w:hAnsiTheme="majorBidi" w:cs="David"/>
          <w:b/>
          <w:bCs/>
          <w:u w:val="single"/>
        </w:rPr>
        <w:t xml:space="preserve"> </w:t>
      </w:r>
      <w:r w:rsidRPr="00F13140">
        <w:rPr>
          <w:rFonts w:asciiTheme="majorBidi" w:hAnsiTheme="majorBidi" w:cs="David"/>
          <w:b/>
          <w:bCs/>
          <w:u w:val="single"/>
          <w:rtl/>
        </w:rPr>
        <w:t>וצפייה</w:t>
      </w:r>
      <w:r w:rsidRPr="00F13140">
        <w:rPr>
          <w:rFonts w:asciiTheme="majorBidi" w:hAnsiTheme="majorBidi" w:cs="David"/>
          <w:b/>
          <w:bCs/>
          <w:rtl/>
        </w:rPr>
        <w:t>:</w:t>
      </w:r>
    </w:p>
    <w:p w:rsidR="00DD22DD" w:rsidRPr="00F13140" w:rsidRDefault="00DD22DD" w:rsidP="00DD22DD">
      <w:pPr>
        <w:bidi w:val="0"/>
        <w:rPr>
          <w:rFonts w:asciiTheme="majorBidi" w:hAnsiTheme="majorBidi" w:cs="David"/>
        </w:rPr>
      </w:pPr>
      <w:r w:rsidRPr="00F13140">
        <w:rPr>
          <w:rFonts w:asciiTheme="majorBidi" w:hAnsiTheme="majorBidi" w:cs="David"/>
        </w:rPr>
        <w:t xml:space="preserve">Hans Belting, </w:t>
      </w:r>
      <w:r w:rsidRPr="00F13140">
        <w:rPr>
          <w:rFonts w:asciiTheme="majorBidi" w:hAnsiTheme="majorBidi" w:cs="David"/>
          <w:i/>
          <w:iCs/>
        </w:rPr>
        <w:t xml:space="preserve">Likeness and Presence: A History of the Image </w:t>
      </w:r>
      <w:proofErr w:type="gramStart"/>
      <w:r w:rsidRPr="00F13140">
        <w:rPr>
          <w:rFonts w:asciiTheme="majorBidi" w:hAnsiTheme="majorBidi" w:cs="David"/>
          <w:i/>
          <w:iCs/>
        </w:rPr>
        <w:t>Before</w:t>
      </w:r>
      <w:proofErr w:type="gramEnd"/>
      <w:r w:rsidRPr="00F13140">
        <w:rPr>
          <w:rFonts w:asciiTheme="majorBidi" w:hAnsiTheme="majorBidi" w:cs="David"/>
          <w:i/>
          <w:iCs/>
        </w:rPr>
        <w:t xml:space="preserve"> the Era of Art</w:t>
      </w:r>
      <w:r w:rsidRPr="00F13140">
        <w:rPr>
          <w:rFonts w:asciiTheme="majorBidi" w:hAnsiTheme="majorBidi" w:cs="David"/>
        </w:rPr>
        <w:t xml:space="preserve">, trans. Edmund </w:t>
      </w:r>
      <w:proofErr w:type="spellStart"/>
      <w:r w:rsidRPr="00F13140">
        <w:rPr>
          <w:rFonts w:asciiTheme="majorBidi" w:hAnsiTheme="majorBidi" w:cs="David"/>
        </w:rPr>
        <w:t>Jephcott</w:t>
      </w:r>
      <w:proofErr w:type="spellEnd"/>
      <w:r w:rsidRPr="00F13140">
        <w:rPr>
          <w:rFonts w:asciiTheme="majorBidi" w:hAnsiTheme="majorBidi" w:cs="David"/>
        </w:rPr>
        <w:t xml:space="preserve"> (Chicago 1994), 144-184. </w:t>
      </w:r>
    </w:p>
    <w:p w:rsidR="00DD22DD" w:rsidRDefault="00DD22DD" w:rsidP="00DD22DD">
      <w:pPr>
        <w:bidi w:val="0"/>
        <w:rPr>
          <w:rFonts w:asciiTheme="majorBidi" w:hAnsiTheme="majorBidi" w:cs="David"/>
        </w:rPr>
      </w:pPr>
      <w:r w:rsidRPr="00F13140">
        <w:rPr>
          <w:rFonts w:asciiTheme="majorBidi" w:hAnsiTheme="majorBidi" w:cs="David"/>
        </w:rPr>
        <w:t>Herbert L. Kessler, "Thou shalt paint the likeness of Christ himself": the Mosaic prohibition as provoca</w:t>
      </w:r>
      <w:r>
        <w:rPr>
          <w:rFonts w:asciiTheme="majorBidi" w:hAnsiTheme="majorBidi" w:cs="David"/>
        </w:rPr>
        <w:t xml:space="preserve">tion for Christian images," in </w:t>
      </w:r>
      <w:r w:rsidRPr="007B243C">
        <w:rPr>
          <w:rFonts w:asciiTheme="majorBidi" w:hAnsiTheme="majorBidi" w:cs="David"/>
          <w:i/>
          <w:iCs/>
        </w:rPr>
        <w:t>The Real and Ideal Jerusalem in Jewish, Christ</w:t>
      </w:r>
      <w:r>
        <w:rPr>
          <w:rFonts w:asciiTheme="majorBidi" w:hAnsiTheme="majorBidi" w:cs="David"/>
          <w:i/>
          <w:iCs/>
        </w:rPr>
        <w:t>ian and Islamic Art (Jewish Art</w:t>
      </w:r>
      <w:r w:rsidRPr="007B243C">
        <w:rPr>
          <w:rFonts w:asciiTheme="majorBidi" w:hAnsiTheme="majorBidi" w:cs="David"/>
        </w:rPr>
        <w:t xml:space="preserve"> 23, 1997/98), pp. 124-39.</w:t>
      </w:r>
      <w:r w:rsidRPr="007B243C">
        <w:rPr>
          <w:rFonts w:asciiTheme="majorBidi" w:hAnsiTheme="majorBidi" w:cs="David"/>
          <w:rtl/>
        </w:rPr>
        <w:cr/>
      </w:r>
    </w:p>
    <w:p w:rsidR="00DD22DD" w:rsidRPr="007B243C" w:rsidRDefault="00DD22DD" w:rsidP="00DD22DD">
      <w:pPr>
        <w:pStyle w:val="a8"/>
        <w:numPr>
          <w:ilvl w:val="0"/>
          <w:numId w:val="3"/>
        </w:numPr>
        <w:spacing w:after="200" w:line="276" w:lineRule="auto"/>
        <w:rPr>
          <w:rFonts w:asciiTheme="majorBidi" w:hAnsiTheme="majorBidi" w:cs="David"/>
        </w:rPr>
      </w:pPr>
      <w:r w:rsidRPr="007B243C">
        <w:rPr>
          <w:rFonts w:asciiTheme="majorBidi" w:hAnsiTheme="majorBidi" w:cs="David"/>
          <w:b/>
          <w:bCs/>
          <w:i/>
          <w:iCs/>
          <w:u w:val="single"/>
        </w:rPr>
        <w:t xml:space="preserve"> </w:t>
      </w:r>
      <w:r w:rsidRPr="007B243C">
        <w:rPr>
          <w:rFonts w:asciiTheme="majorBidi" w:hAnsiTheme="majorBidi" w:cs="David"/>
          <w:b/>
          <w:bCs/>
          <w:u w:val="single"/>
          <w:rtl/>
        </w:rPr>
        <w:t>ראיה חומרית, אינטלקטואלית, רוחנית:</w:t>
      </w:r>
    </w:p>
    <w:p w:rsidR="00DD22DD" w:rsidRPr="00F13140" w:rsidRDefault="00DD22DD" w:rsidP="00DD22DD">
      <w:pPr>
        <w:pStyle w:val="ac"/>
        <w:bidi w:val="0"/>
        <w:rPr>
          <w:rFonts w:asciiTheme="majorBidi" w:hAnsiTheme="majorBidi" w:cs="David"/>
          <w:sz w:val="24"/>
          <w:szCs w:val="24"/>
        </w:rPr>
      </w:pPr>
      <w:r w:rsidRPr="00F13140">
        <w:rPr>
          <w:rFonts w:asciiTheme="majorBidi" w:hAnsiTheme="majorBidi" w:cs="David"/>
          <w:sz w:val="24"/>
          <w:szCs w:val="24"/>
        </w:rPr>
        <w:t xml:space="preserve">Madeleine </w:t>
      </w:r>
      <w:proofErr w:type="spellStart"/>
      <w:r w:rsidRPr="00F13140">
        <w:rPr>
          <w:rFonts w:asciiTheme="majorBidi" w:hAnsiTheme="majorBidi" w:cs="David"/>
          <w:sz w:val="24"/>
          <w:szCs w:val="24"/>
        </w:rPr>
        <w:t>Caviness</w:t>
      </w:r>
      <w:proofErr w:type="spellEnd"/>
      <w:r w:rsidRPr="00F13140">
        <w:rPr>
          <w:rFonts w:asciiTheme="majorBidi" w:hAnsiTheme="majorBidi" w:cs="David"/>
          <w:i/>
          <w:iCs/>
          <w:sz w:val="24"/>
          <w:szCs w:val="24"/>
        </w:rPr>
        <w:t xml:space="preserve">, </w:t>
      </w:r>
      <w:r w:rsidRPr="00F13140">
        <w:rPr>
          <w:rFonts w:asciiTheme="majorBidi" w:hAnsiTheme="majorBidi" w:cs="David"/>
          <w:sz w:val="24"/>
          <w:szCs w:val="24"/>
        </w:rPr>
        <w:t>“</w:t>
      </w:r>
      <w:r w:rsidRPr="00F13140">
        <w:rPr>
          <w:rFonts w:asciiTheme="majorBidi" w:hAnsiTheme="majorBidi" w:cs="David"/>
          <w:color w:val="000000"/>
          <w:sz w:val="24"/>
          <w:szCs w:val="24"/>
        </w:rPr>
        <w:t xml:space="preserve">“Images of Divine Order and the Third Mode of Seeing,” </w:t>
      </w:r>
      <w:r w:rsidRPr="00F13140">
        <w:rPr>
          <w:rFonts w:asciiTheme="majorBidi" w:hAnsiTheme="majorBidi" w:cs="David"/>
          <w:i/>
          <w:iCs/>
          <w:sz w:val="24"/>
          <w:szCs w:val="24"/>
        </w:rPr>
        <w:t>in Art in the Medieval West and its Audience</w:t>
      </w:r>
      <w:r w:rsidRPr="00F13140">
        <w:rPr>
          <w:rFonts w:asciiTheme="majorBidi" w:hAnsiTheme="majorBidi" w:cs="David"/>
          <w:sz w:val="24"/>
          <w:szCs w:val="24"/>
        </w:rPr>
        <w:t xml:space="preserve"> (</w:t>
      </w:r>
      <w:proofErr w:type="spellStart"/>
      <w:r w:rsidRPr="00F13140">
        <w:rPr>
          <w:rFonts w:asciiTheme="majorBidi" w:hAnsiTheme="majorBidi" w:cs="David"/>
          <w:sz w:val="24"/>
          <w:szCs w:val="24"/>
        </w:rPr>
        <w:t>Aldershot</w:t>
      </w:r>
      <w:proofErr w:type="spellEnd"/>
      <w:r w:rsidRPr="00F13140">
        <w:rPr>
          <w:rFonts w:asciiTheme="majorBidi" w:hAnsiTheme="majorBidi" w:cs="David"/>
          <w:sz w:val="24"/>
          <w:szCs w:val="24"/>
        </w:rPr>
        <w:t xml:space="preserve"> and Burlington: </w:t>
      </w:r>
      <w:proofErr w:type="spellStart"/>
      <w:r w:rsidRPr="00F13140">
        <w:rPr>
          <w:rFonts w:asciiTheme="majorBidi" w:hAnsiTheme="majorBidi" w:cs="David"/>
          <w:sz w:val="24"/>
          <w:szCs w:val="24"/>
        </w:rPr>
        <w:t>Ashgate</w:t>
      </w:r>
      <w:proofErr w:type="spellEnd"/>
      <w:r w:rsidRPr="00F13140">
        <w:rPr>
          <w:rFonts w:asciiTheme="majorBidi" w:hAnsiTheme="majorBidi" w:cs="David"/>
          <w:sz w:val="24"/>
          <w:szCs w:val="24"/>
        </w:rPr>
        <w:t>, 2001), 65–85.</w:t>
      </w:r>
    </w:p>
    <w:p w:rsidR="00DD22DD" w:rsidRPr="00F13140" w:rsidRDefault="00DD22DD" w:rsidP="00DD22DD">
      <w:pPr>
        <w:pStyle w:val="NormalWeb"/>
        <w:spacing w:before="0" w:beforeAutospacing="0" w:after="0" w:afterAutospacing="0"/>
        <w:contextualSpacing/>
        <w:rPr>
          <w:rFonts w:asciiTheme="majorBidi" w:hAnsiTheme="majorBidi" w:cs="David"/>
          <w:highlight w:val="yellow"/>
        </w:rPr>
      </w:pPr>
    </w:p>
    <w:p w:rsidR="00DD22DD" w:rsidRPr="00F13140" w:rsidRDefault="00DD22DD" w:rsidP="00DD22DD">
      <w:pPr>
        <w:pStyle w:val="NormalWeb"/>
        <w:spacing w:before="0" w:beforeAutospacing="0" w:after="0" w:afterAutospacing="0"/>
        <w:contextualSpacing/>
        <w:rPr>
          <w:rFonts w:asciiTheme="majorBidi" w:hAnsiTheme="majorBidi" w:cs="David"/>
        </w:rPr>
      </w:pPr>
      <w:r w:rsidRPr="00D97104">
        <w:rPr>
          <w:rFonts w:asciiTheme="majorBidi" w:hAnsiTheme="majorBidi" w:cs="David"/>
        </w:rPr>
        <w:t xml:space="preserve">Robert S. Nelson, “To Say and to See, </w:t>
      </w:r>
      <w:proofErr w:type="spellStart"/>
      <w:r w:rsidRPr="00D97104">
        <w:rPr>
          <w:rFonts w:asciiTheme="majorBidi" w:hAnsiTheme="majorBidi" w:cs="David"/>
        </w:rPr>
        <w:t>Ekphrasis</w:t>
      </w:r>
      <w:proofErr w:type="spellEnd"/>
      <w:r w:rsidRPr="00D97104">
        <w:rPr>
          <w:rFonts w:asciiTheme="majorBidi" w:hAnsiTheme="majorBidi" w:cs="David"/>
        </w:rPr>
        <w:t xml:space="preserve"> and Vision in Byzantium,” in </w:t>
      </w:r>
      <w:proofErr w:type="spellStart"/>
      <w:r w:rsidRPr="00D97104">
        <w:rPr>
          <w:rFonts w:asciiTheme="majorBidi" w:hAnsiTheme="majorBidi" w:cs="David"/>
          <w:i/>
          <w:iCs/>
        </w:rPr>
        <w:t>Visuality</w:t>
      </w:r>
      <w:proofErr w:type="spellEnd"/>
      <w:r w:rsidRPr="00D97104">
        <w:rPr>
          <w:rFonts w:asciiTheme="majorBidi" w:hAnsiTheme="majorBidi" w:cs="David"/>
          <w:i/>
          <w:iCs/>
        </w:rPr>
        <w:t xml:space="preserve"> Before and Beyond the Renaissance, Seeing as Others Saw</w:t>
      </w:r>
      <w:r w:rsidRPr="00D97104">
        <w:rPr>
          <w:rFonts w:asciiTheme="majorBidi" w:hAnsiTheme="majorBidi" w:cs="David"/>
        </w:rPr>
        <w:t xml:space="preserve"> (Cambridge, 2000), 143-68.</w:t>
      </w:r>
    </w:p>
    <w:p w:rsidR="00DD22DD" w:rsidRPr="00F13140" w:rsidRDefault="00DD22DD" w:rsidP="00DD22DD">
      <w:pPr>
        <w:bidi w:val="0"/>
        <w:ind w:left="720" w:right="720" w:hanging="720"/>
        <w:rPr>
          <w:rFonts w:asciiTheme="majorBidi" w:hAnsiTheme="majorBidi" w:cs="David"/>
        </w:rPr>
      </w:pPr>
    </w:p>
    <w:p w:rsidR="00DD22DD" w:rsidRPr="00F13140" w:rsidRDefault="00DD22DD" w:rsidP="00DD22DD">
      <w:pPr>
        <w:numPr>
          <w:ilvl w:val="0"/>
          <w:numId w:val="3"/>
        </w:numPr>
        <w:rPr>
          <w:rFonts w:asciiTheme="majorBidi" w:hAnsiTheme="majorBidi" w:cs="David"/>
          <w:b/>
          <w:bCs/>
          <w:u w:val="single"/>
        </w:rPr>
      </w:pPr>
      <w:r w:rsidRPr="00F13140">
        <w:rPr>
          <w:rFonts w:asciiTheme="majorBidi" w:hAnsiTheme="majorBidi" w:cs="David"/>
          <w:b/>
          <w:bCs/>
          <w:u w:val="single"/>
          <w:rtl/>
        </w:rPr>
        <w:t>רטוריקה וגופים דינמיים:</w:t>
      </w:r>
    </w:p>
    <w:p w:rsidR="00DD22DD" w:rsidRPr="00F13140" w:rsidRDefault="00DD22DD" w:rsidP="00DD22DD">
      <w:pPr>
        <w:bidi w:val="0"/>
        <w:contextualSpacing/>
        <w:rPr>
          <w:rFonts w:asciiTheme="majorBidi" w:hAnsiTheme="majorBidi" w:cs="David"/>
        </w:rPr>
      </w:pPr>
      <w:r w:rsidRPr="00F13140">
        <w:rPr>
          <w:rFonts w:asciiTheme="majorBidi" w:hAnsiTheme="majorBidi" w:cs="David"/>
        </w:rPr>
        <w:t xml:space="preserve">Willibald </w:t>
      </w:r>
      <w:proofErr w:type="spellStart"/>
      <w:r w:rsidRPr="00F13140">
        <w:rPr>
          <w:rFonts w:asciiTheme="majorBidi" w:hAnsiTheme="majorBidi" w:cs="David"/>
        </w:rPr>
        <w:t>Sauerländer</w:t>
      </w:r>
      <w:proofErr w:type="spellEnd"/>
      <w:r w:rsidRPr="00F13140">
        <w:rPr>
          <w:rFonts w:asciiTheme="majorBidi" w:hAnsiTheme="majorBidi" w:cs="David"/>
        </w:rPr>
        <w:t xml:space="preserve">, “Romanesque Sculpture in its Architectural Context,” in </w:t>
      </w:r>
      <w:proofErr w:type="gramStart"/>
      <w:r w:rsidRPr="00F13140">
        <w:rPr>
          <w:rFonts w:asciiTheme="majorBidi" w:hAnsiTheme="majorBidi" w:cs="David"/>
          <w:i/>
          <w:iCs/>
        </w:rPr>
        <w:t>The</w:t>
      </w:r>
      <w:proofErr w:type="gramEnd"/>
      <w:r w:rsidRPr="00F13140">
        <w:rPr>
          <w:rFonts w:asciiTheme="majorBidi" w:hAnsiTheme="majorBidi" w:cs="David"/>
          <w:i/>
          <w:iCs/>
        </w:rPr>
        <w:t xml:space="preserve"> Romanesque Frieze and its Spectator</w:t>
      </w:r>
      <w:r w:rsidRPr="00F13140">
        <w:rPr>
          <w:rFonts w:asciiTheme="majorBidi" w:hAnsiTheme="majorBidi" w:cs="David"/>
        </w:rPr>
        <w:t>, ed. Deborah Kahn (London, 1992), 17-43.</w:t>
      </w:r>
    </w:p>
    <w:p w:rsidR="00DD22DD" w:rsidRPr="00F13140" w:rsidRDefault="00DD22DD" w:rsidP="00DD22DD">
      <w:pPr>
        <w:bidi w:val="0"/>
        <w:ind w:left="720" w:hanging="720"/>
        <w:contextualSpacing/>
        <w:rPr>
          <w:rFonts w:asciiTheme="majorBidi" w:hAnsiTheme="majorBidi" w:cs="David"/>
          <w:color w:val="000000"/>
        </w:rPr>
      </w:pPr>
    </w:p>
    <w:p w:rsidR="00DD22DD" w:rsidRPr="00F13140" w:rsidRDefault="00DD22DD" w:rsidP="00DD22DD">
      <w:pPr>
        <w:bidi w:val="0"/>
        <w:contextualSpacing/>
        <w:rPr>
          <w:rStyle w:val="apple-style-span"/>
          <w:rFonts w:asciiTheme="majorBidi" w:hAnsiTheme="majorBidi" w:cs="David"/>
        </w:rPr>
      </w:pPr>
      <w:r w:rsidRPr="00F13140">
        <w:rPr>
          <w:rFonts w:asciiTheme="majorBidi" w:hAnsiTheme="majorBidi" w:cs="David"/>
          <w:color w:val="000000"/>
        </w:rPr>
        <w:t>Jacqueline E.</w:t>
      </w:r>
      <w:r w:rsidRPr="00F13140">
        <w:rPr>
          <w:rStyle w:val="apple-style-span"/>
          <w:rFonts w:asciiTheme="majorBidi" w:hAnsiTheme="majorBidi" w:cs="David"/>
          <w:color w:val="000000"/>
        </w:rPr>
        <w:t xml:space="preserve"> </w:t>
      </w:r>
      <w:r w:rsidRPr="00F13140">
        <w:rPr>
          <w:rFonts w:asciiTheme="majorBidi" w:hAnsiTheme="majorBidi" w:cs="David"/>
          <w:color w:val="000000"/>
        </w:rPr>
        <w:t xml:space="preserve">Jung, </w:t>
      </w:r>
      <w:r w:rsidRPr="00F13140">
        <w:rPr>
          <w:rStyle w:val="apple-style-span"/>
          <w:rFonts w:asciiTheme="majorBidi" w:hAnsiTheme="majorBidi" w:cs="David"/>
          <w:color w:val="000000"/>
        </w:rPr>
        <w:t>“</w:t>
      </w:r>
      <w:r w:rsidRPr="00F13140">
        <w:rPr>
          <w:rStyle w:val="apple-style-span"/>
          <w:rFonts w:asciiTheme="majorBidi" w:hAnsiTheme="majorBidi" w:cs="David"/>
        </w:rPr>
        <w:t>Dynamic Bodies and the Beholder’s Share: The Wise and Foolish Virgins of Magdeburg Cathedral,” in</w:t>
      </w:r>
      <w:r w:rsidRPr="00F13140">
        <w:rPr>
          <w:rStyle w:val="apple-converted-space"/>
          <w:rFonts w:asciiTheme="majorBidi" w:hAnsiTheme="majorBidi" w:cs="David"/>
        </w:rPr>
        <w:t> </w:t>
      </w:r>
      <w:r w:rsidRPr="00F13140">
        <w:rPr>
          <w:rStyle w:val="apple-style-span"/>
          <w:rFonts w:asciiTheme="majorBidi" w:hAnsiTheme="majorBidi" w:cs="David"/>
        </w:rPr>
        <w:t xml:space="preserve"> </w:t>
      </w:r>
      <w:proofErr w:type="spellStart"/>
      <w:r w:rsidRPr="00F13140">
        <w:rPr>
          <w:rStyle w:val="ab"/>
          <w:rFonts w:asciiTheme="majorBidi" w:hAnsiTheme="majorBidi" w:cs="David"/>
          <w:color w:val="000000"/>
        </w:rPr>
        <w:t>Bild</w:t>
      </w:r>
      <w:proofErr w:type="spellEnd"/>
      <w:r w:rsidRPr="00F13140">
        <w:rPr>
          <w:rStyle w:val="ab"/>
          <w:rFonts w:asciiTheme="majorBidi" w:hAnsiTheme="majorBidi" w:cs="David"/>
          <w:color w:val="000000"/>
        </w:rPr>
        <w:t xml:space="preserve"> und </w:t>
      </w:r>
      <w:proofErr w:type="spellStart"/>
      <w:r w:rsidRPr="00F13140">
        <w:rPr>
          <w:rStyle w:val="ab"/>
          <w:rFonts w:asciiTheme="majorBidi" w:hAnsiTheme="majorBidi" w:cs="David"/>
          <w:color w:val="000000"/>
        </w:rPr>
        <w:t>Körper</w:t>
      </w:r>
      <w:proofErr w:type="spellEnd"/>
      <w:r w:rsidRPr="00F13140">
        <w:rPr>
          <w:rStyle w:val="ab"/>
          <w:rFonts w:asciiTheme="majorBidi" w:hAnsiTheme="majorBidi" w:cs="David"/>
          <w:color w:val="000000"/>
        </w:rPr>
        <w:t xml:space="preserve"> </w:t>
      </w:r>
      <w:proofErr w:type="spellStart"/>
      <w:r w:rsidRPr="00F13140">
        <w:rPr>
          <w:rStyle w:val="ab"/>
          <w:rFonts w:asciiTheme="majorBidi" w:hAnsiTheme="majorBidi" w:cs="David"/>
          <w:color w:val="000000"/>
        </w:rPr>
        <w:t>im</w:t>
      </w:r>
      <w:proofErr w:type="spellEnd"/>
      <w:r w:rsidRPr="00F13140">
        <w:rPr>
          <w:rStyle w:val="ab"/>
          <w:rFonts w:asciiTheme="majorBidi" w:hAnsiTheme="majorBidi" w:cs="David"/>
          <w:color w:val="000000"/>
        </w:rPr>
        <w:t xml:space="preserve"> </w:t>
      </w:r>
      <w:proofErr w:type="spellStart"/>
      <w:r w:rsidRPr="00F13140">
        <w:rPr>
          <w:rStyle w:val="ab"/>
          <w:rFonts w:asciiTheme="majorBidi" w:hAnsiTheme="majorBidi" w:cs="David"/>
          <w:color w:val="000000"/>
        </w:rPr>
        <w:t>Mittelalter</w:t>
      </w:r>
      <w:proofErr w:type="spellEnd"/>
      <w:r w:rsidRPr="00F13140">
        <w:rPr>
          <w:rStyle w:val="ab"/>
          <w:rFonts w:asciiTheme="majorBidi" w:hAnsiTheme="majorBidi" w:cs="David"/>
          <w:color w:val="000000"/>
        </w:rPr>
        <w:t xml:space="preserve">, eds. </w:t>
      </w:r>
      <w:r w:rsidRPr="00F13140">
        <w:rPr>
          <w:rStyle w:val="apple-style-span"/>
          <w:rFonts w:asciiTheme="majorBidi" w:hAnsiTheme="majorBidi" w:cs="David"/>
          <w:color w:val="000000"/>
        </w:rPr>
        <w:t xml:space="preserve">Marek, Kristin, </w:t>
      </w:r>
      <w:proofErr w:type="spellStart"/>
      <w:r w:rsidRPr="00F13140">
        <w:rPr>
          <w:rStyle w:val="apple-style-span"/>
          <w:rFonts w:asciiTheme="majorBidi" w:hAnsiTheme="majorBidi" w:cs="David"/>
          <w:color w:val="000000"/>
        </w:rPr>
        <w:t>Raphaèle</w:t>
      </w:r>
      <w:proofErr w:type="spellEnd"/>
      <w:r w:rsidRPr="00F13140">
        <w:rPr>
          <w:rStyle w:val="apple-style-span"/>
          <w:rFonts w:asciiTheme="majorBidi" w:hAnsiTheme="majorBidi" w:cs="David"/>
          <w:color w:val="000000"/>
        </w:rPr>
        <w:t xml:space="preserve"> </w:t>
      </w:r>
      <w:proofErr w:type="spellStart"/>
      <w:r w:rsidRPr="00F13140">
        <w:rPr>
          <w:rStyle w:val="apple-style-span"/>
          <w:rFonts w:asciiTheme="majorBidi" w:hAnsiTheme="majorBidi" w:cs="David"/>
          <w:color w:val="000000"/>
        </w:rPr>
        <w:t>Preisinger</w:t>
      </w:r>
      <w:proofErr w:type="spellEnd"/>
      <w:r w:rsidRPr="00F13140">
        <w:rPr>
          <w:rStyle w:val="apple-style-span"/>
          <w:rFonts w:asciiTheme="majorBidi" w:hAnsiTheme="majorBidi" w:cs="David"/>
          <w:color w:val="000000"/>
        </w:rPr>
        <w:t xml:space="preserve">, Marius </w:t>
      </w:r>
      <w:proofErr w:type="spellStart"/>
      <w:r w:rsidRPr="00F13140">
        <w:rPr>
          <w:rStyle w:val="apple-style-span"/>
          <w:rFonts w:asciiTheme="majorBidi" w:hAnsiTheme="majorBidi" w:cs="David"/>
          <w:color w:val="000000"/>
        </w:rPr>
        <w:t>Rimmele</w:t>
      </w:r>
      <w:proofErr w:type="spellEnd"/>
      <w:r w:rsidRPr="00F13140">
        <w:rPr>
          <w:rStyle w:val="apple-style-span"/>
          <w:rFonts w:asciiTheme="majorBidi" w:hAnsiTheme="majorBidi" w:cs="David"/>
          <w:color w:val="000000"/>
        </w:rPr>
        <w:t xml:space="preserve">, and </w:t>
      </w:r>
      <w:proofErr w:type="spellStart"/>
      <w:r w:rsidRPr="00F13140">
        <w:rPr>
          <w:rStyle w:val="apple-style-span"/>
          <w:rFonts w:asciiTheme="majorBidi" w:hAnsiTheme="majorBidi" w:cs="David"/>
          <w:color w:val="000000"/>
        </w:rPr>
        <w:t>Katrin</w:t>
      </w:r>
      <w:proofErr w:type="spellEnd"/>
      <w:r w:rsidRPr="00F13140">
        <w:rPr>
          <w:rStyle w:val="apple-style-span"/>
          <w:rFonts w:asciiTheme="majorBidi" w:hAnsiTheme="majorBidi" w:cs="David"/>
          <w:color w:val="000000"/>
        </w:rPr>
        <w:t xml:space="preserve"> </w:t>
      </w:r>
      <w:proofErr w:type="spellStart"/>
      <w:r w:rsidRPr="00F13140">
        <w:rPr>
          <w:rStyle w:val="apple-style-span"/>
          <w:rFonts w:asciiTheme="majorBidi" w:hAnsiTheme="majorBidi" w:cs="David"/>
          <w:color w:val="000000"/>
        </w:rPr>
        <w:t>Kärcher</w:t>
      </w:r>
      <w:proofErr w:type="spellEnd"/>
      <w:r w:rsidRPr="00F13140">
        <w:rPr>
          <w:rStyle w:val="apple-style-span"/>
          <w:rFonts w:asciiTheme="majorBidi" w:hAnsiTheme="majorBidi" w:cs="David"/>
          <w:color w:val="000000"/>
        </w:rPr>
        <w:t>, (Munich, 2006)</w:t>
      </w:r>
      <w:r w:rsidRPr="00F13140">
        <w:rPr>
          <w:rStyle w:val="apple-style-span"/>
          <w:rFonts w:asciiTheme="majorBidi" w:hAnsiTheme="majorBidi" w:cs="David"/>
        </w:rPr>
        <w:t xml:space="preserve">, 135–60. </w:t>
      </w:r>
    </w:p>
    <w:p w:rsidR="00DD22DD" w:rsidRPr="00F13140" w:rsidRDefault="00DD22DD" w:rsidP="00DD22DD">
      <w:pPr>
        <w:bidi w:val="0"/>
        <w:contextualSpacing/>
        <w:rPr>
          <w:rStyle w:val="apple-style-span"/>
          <w:rFonts w:asciiTheme="majorBidi" w:eastAsia="Arial Unicode MS" w:hAnsiTheme="majorBidi" w:cs="David"/>
          <w:color w:val="000000"/>
        </w:rPr>
      </w:pPr>
    </w:p>
    <w:p w:rsidR="00DD22DD" w:rsidRPr="00F13140" w:rsidRDefault="00DD22DD" w:rsidP="00DD22DD">
      <w:pPr>
        <w:numPr>
          <w:ilvl w:val="0"/>
          <w:numId w:val="3"/>
        </w:numPr>
        <w:rPr>
          <w:rFonts w:asciiTheme="majorBidi" w:hAnsiTheme="majorBidi" w:cs="David"/>
          <w:b/>
          <w:bCs/>
          <w:u w:val="single"/>
        </w:rPr>
      </w:pPr>
      <w:r w:rsidRPr="00F13140">
        <w:rPr>
          <w:rFonts w:asciiTheme="majorBidi" w:hAnsiTheme="majorBidi" w:cs="David"/>
          <w:b/>
          <w:bCs/>
          <w:u w:val="single"/>
          <w:rtl/>
        </w:rPr>
        <w:t>יום הדין האחרון</w:t>
      </w:r>
    </w:p>
    <w:p w:rsidR="00DD22DD" w:rsidRPr="00F13140" w:rsidRDefault="00DD22DD" w:rsidP="00DD22DD">
      <w:pPr>
        <w:bidi w:val="0"/>
        <w:rPr>
          <w:rFonts w:asciiTheme="majorBidi" w:hAnsiTheme="majorBidi" w:cs="David"/>
        </w:rPr>
      </w:pPr>
      <w:r w:rsidRPr="00F13140">
        <w:rPr>
          <w:rFonts w:asciiTheme="majorBidi" w:hAnsiTheme="majorBidi" w:cs="David"/>
        </w:rPr>
        <w:t xml:space="preserve">Emile </w:t>
      </w:r>
      <w:proofErr w:type="spellStart"/>
      <w:r w:rsidRPr="00F13140">
        <w:rPr>
          <w:rFonts w:asciiTheme="majorBidi" w:hAnsiTheme="majorBidi" w:cs="David"/>
        </w:rPr>
        <w:t>Mâle</w:t>
      </w:r>
      <w:proofErr w:type="spellEnd"/>
      <w:r w:rsidRPr="00F13140">
        <w:rPr>
          <w:rFonts w:asciiTheme="majorBidi" w:hAnsiTheme="majorBidi" w:cs="David"/>
        </w:rPr>
        <w:t xml:space="preserve">, </w:t>
      </w:r>
      <w:proofErr w:type="gramStart"/>
      <w:r w:rsidRPr="00F13140">
        <w:rPr>
          <w:rFonts w:asciiTheme="majorBidi" w:hAnsiTheme="majorBidi" w:cs="David"/>
          <w:i/>
          <w:iCs/>
        </w:rPr>
        <w:t>The</w:t>
      </w:r>
      <w:proofErr w:type="gramEnd"/>
      <w:r w:rsidRPr="00F13140">
        <w:rPr>
          <w:rFonts w:asciiTheme="majorBidi" w:hAnsiTheme="majorBidi" w:cs="David"/>
          <w:i/>
          <w:iCs/>
        </w:rPr>
        <w:t xml:space="preserve"> Gothic Image. Religious Art in France of the Thirteenth Century</w:t>
      </w:r>
      <w:r w:rsidRPr="00F13140">
        <w:rPr>
          <w:rFonts w:asciiTheme="majorBidi" w:hAnsiTheme="majorBidi" w:cs="David"/>
        </w:rPr>
        <w:t xml:space="preserve"> (</w:t>
      </w:r>
      <w:proofErr w:type="spellStart"/>
      <w:r w:rsidRPr="00F13140">
        <w:rPr>
          <w:rFonts w:asciiTheme="majorBidi" w:hAnsiTheme="majorBidi" w:cs="David"/>
        </w:rPr>
        <w:t>NewYork</w:t>
      </w:r>
      <w:proofErr w:type="spellEnd"/>
      <w:r w:rsidRPr="00F13140">
        <w:rPr>
          <w:rFonts w:asciiTheme="majorBidi" w:hAnsiTheme="majorBidi" w:cs="David"/>
        </w:rPr>
        <w:t xml:space="preserve">, 1972; 1913), 355-389. </w:t>
      </w:r>
    </w:p>
    <w:p w:rsidR="00DD22DD" w:rsidRPr="00F13140" w:rsidRDefault="00DD22DD" w:rsidP="00DD22DD">
      <w:pPr>
        <w:bidi w:val="0"/>
        <w:rPr>
          <w:rFonts w:asciiTheme="majorBidi" w:hAnsiTheme="majorBidi" w:cs="David"/>
        </w:rPr>
      </w:pPr>
      <w:r w:rsidRPr="00F13140">
        <w:rPr>
          <w:rFonts w:asciiTheme="majorBidi" w:hAnsiTheme="majorBidi" w:cs="David"/>
        </w:rPr>
        <w:t xml:space="preserve">Paul Williamson, </w:t>
      </w:r>
      <w:r w:rsidRPr="00F13140">
        <w:rPr>
          <w:rFonts w:asciiTheme="majorBidi" w:hAnsiTheme="majorBidi" w:cs="David"/>
          <w:i/>
          <w:iCs/>
        </w:rPr>
        <w:t>Gothic Sculpture 1140-1300</w:t>
      </w:r>
      <w:r w:rsidRPr="00F13140">
        <w:rPr>
          <w:rFonts w:asciiTheme="majorBidi" w:hAnsiTheme="majorBidi" w:cs="David"/>
        </w:rPr>
        <w:t xml:space="preserve"> (Yale, 1995), 175-198.</w:t>
      </w:r>
    </w:p>
    <w:p w:rsidR="00DD22DD" w:rsidRPr="00F13140" w:rsidRDefault="00DD22DD" w:rsidP="00DD22DD">
      <w:pPr>
        <w:numPr>
          <w:ilvl w:val="0"/>
          <w:numId w:val="3"/>
        </w:numPr>
        <w:rPr>
          <w:rFonts w:asciiTheme="majorBidi" w:hAnsiTheme="majorBidi" w:cs="David"/>
          <w:b/>
          <w:bCs/>
          <w:u w:val="single"/>
        </w:rPr>
      </w:pPr>
      <w:proofErr w:type="spellStart"/>
      <w:r w:rsidRPr="00F13140">
        <w:rPr>
          <w:rFonts w:asciiTheme="majorBidi" w:hAnsiTheme="majorBidi" w:cs="David"/>
          <w:b/>
          <w:bCs/>
          <w:u w:val="single"/>
          <w:rtl/>
        </w:rPr>
        <w:t>אימגו</w:t>
      </w:r>
      <w:proofErr w:type="spellEnd"/>
      <w:r w:rsidRPr="00F13140">
        <w:rPr>
          <w:rFonts w:asciiTheme="majorBidi" w:hAnsiTheme="majorBidi" w:cs="David"/>
          <w:b/>
          <w:bCs/>
          <w:u w:val="single"/>
          <w:rtl/>
        </w:rPr>
        <w:t xml:space="preserve">, </w:t>
      </w:r>
      <w:proofErr w:type="spellStart"/>
      <w:r w:rsidRPr="00F13140">
        <w:rPr>
          <w:rFonts w:asciiTheme="majorBidi" w:hAnsiTheme="majorBidi" w:cs="David"/>
          <w:b/>
          <w:bCs/>
          <w:u w:val="single"/>
          <w:rtl/>
        </w:rPr>
        <w:t>סימולקרום</w:t>
      </w:r>
      <w:proofErr w:type="spellEnd"/>
      <w:r w:rsidRPr="00F13140">
        <w:rPr>
          <w:rFonts w:asciiTheme="majorBidi" w:hAnsiTheme="majorBidi" w:cs="David"/>
          <w:b/>
          <w:bCs/>
          <w:u w:val="single"/>
          <w:rtl/>
        </w:rPr>
        <w:t xml:space="preserve">, </w:t>
      </w:r>
      <w:proofErr w:type="spellStart"/>
      <w:r w:rsidRPr="00F13140">
        <w:rPr>
          <w:rFonts w:asciiTheme="majorBidi" w:hAnsiTheme="majorBidi" w:cs="David"/>
          <w:b/>
          <w:bCs/>
          <w:u w:val="single"/>
          <w:rtl/>
        </w:rPr>
        <w:t>אידולה</w:t>
      </w:r>
      <w:proofErr w:type="spellEnd"/>
      <w:r w:rsidRPr="00F13140">
        <w:rPr>
          <w:rFonts w:asciiTheme="majorBidi" w:hAnsiTheme="majorBidi" w:cs="David"/>
          <w:b/>
          <w:bCs/>
          <w:u w:val="single"/>
          <w:rtl/>
        </w:rPr>
        <w:t>:</w:t>
      </w:r>
    </w:p>
    <w:p w:rsidR="00DD22DD" w:rsidRDefault="00DD22DD" w:rsidP="00DD22DD">
      <w:pPr>
        <w:bidi w:val="0"/>
        <w:ind w:left="720" w:hanging="720"/>
        <w:contextualSpacing/>
        <w:rPr>
          <w:rFonts w:asciiTheme="majorBidi" w:hAnsiTheme="majorBidi" w:cs="David"/>
        </w:rPr>
      </w:pPr>
      <w:proofErr w:type="spellStart"/>
      <w:r w:rsidRPr="00F13140">
        <w:rPr>
          <w:rFonts w:asciiTheme="majorBidi" w:hAnsiTheme="majorBidi" w:cs="David"/>
          <w:color w:val="000000"/>
        </w:rPr>
        <w:t>Deleuze</w:t>
      </w:r>
      <w:proofErr w:type="spellEnd"/>
      <w:r w:rsidRPr="00F13140">
        <w:rPr>
          <w:rFonts w:asciiTheme="majorBidi" w:hAnsiTheme="majorBidi" w:cs="David"/>
          <w:color w:val="000000"/>
        </w:rPr>
        <w:t>, Gilles, and Rosalind Krauss. “</w:t>
      </w:r>
      <w:r w:rsidRPr="00F13140">
        <w:rPr>
          <w:rFonts w:asciiTheme="majorBidi" w:hAnsiTheme="majorBidi" w:cs="David"/>
        </w:rPr>
        <w:t xml:space="preserve">Plato and the Simulacrum.” </w:t>
      </w:r>
      <w:r w:rsidRPr="00F13140">
        <w:rPr>
          <w:rFonts w:asciiTheme="majorBidi" w:hAnsiTheme="majorBidi" w:cs="David"/>
          <w:i/>
          <w:iCs/>
        </w:rPr>
        <w:t>October</w:t>
      </w:r>
      <w:r w:rsidRPr="00F13140">
        <w:rPr>
          <w:rFonts w:asciiTheme="majorBidi" w:hAnsiTheme="majorBidi" w:cs="David"/>
        </w:rPr>
        <w:t xml:space="preserve"> 27 (1983): 45–56.</w:t>
      </w:r>
    </w:p>
    <w:p w:rsidR="00DD22DD" w:rsidRPr="00F13140" w:rsidRDefault="00DD22DD" w:rsidP="00DD22DD">
      <w:pPr>
        <w:bidi w:val="0"/>
        <w:ind w:left="720" w:hanging="720"/>
        <w:contextualSpacing/>
        <w:rPr>
          <w:rFonts w:asciiTheme="majorBidi" w:hAnsiTheme="majorBidi" w:cs="David"/>
        </w:rPr>
      </w:pPr>
      <w:r w:rsidRPr="00C57FA6">
        <w:rPr>
          <w:rFonts w:asciiTheme="majorBidi" w:hAnsiTheme="majorBidi" w:cs="David"/>
        </w:rPr>
        <w:t xml:space="preserve">Camille, Michael. "Simulacrum." </w:t>
      </w:r>
      <w:r w:rsidRPr="00C57FA6">
        <w:rPr>
          <w:rFonts w:asciiTheme="majorBidi" w:hAnsiTheme="majorBidi" w:cs="David"/>
          <w:i/>
          <w:iCs/>
        </w:rPr>
        <w:t>Critical terms for art history</w:t>
      </w:r>
      <w:r w:rsidRPr="00C57FA6">
        <w:rPr>
          <w:rFonts w:asciiTheme="majorBidi" w:hAnsiTheme="majorBidi" w:cs="David"/>
        </w:rPr>
        <w:t xml:space="preserve"> (1996)</w:t>
      </w:r>
    </w:p>
    <w:p w:rsidR="00DD22DD" w:rsidRPr="00F13140" w:rsidRDefault="00DD22DD" w:rsidP="00DD22DD">
      <w:pPr>
        <w:bidi w:val="0"/>
        <w:contextualSpacing/>
        <w:rPr>
          <w:rStyle w:val="apple-style-span"/>
          <w:rFonts w:asciiTheme="majorBidi" w:hAnsiTheme="majorBidi" w:cs="David"/>
          <w:color w:val="000000"/>
          <w:rtl/>
        </w:rPr>
      </w:pPr>
      <w:r w:rsidRPr="00F13140">
        <w:rPr>
          <w:rFonts w:asciiTheme="majorBidi" w:hAnsiTheme="majorBidi" w:cs="David"/>
          <w:color w:val="000000"/>
        </w:rPr>
        <w:t xml:space="preserve">Sarah Salih, </w:t>
      </w:r>
      <w:r w:rsidRPr="00F13140">
        <w:rPr>
          <w:rFonts w:asciiTheme="majorBidi" w:hAnsiTheme="majorBidi" w:cs="David"/>
        </w:rPr>
        <w:t xml:space="preserve">“Idols and Simulacra: </w:t>
      </w:r>
      <w:proofErr w:type="spellStart"/>
      <w:r w:rsidRPr="00F13140">
        <w:rPr>
          <w:rFonts w:asciiTheme="majorBidi" w:hAnsiTheme="majorBidi" w:cs="David"/>
        </w:rPr>
        <w:t>Paganity</w:t>
      </w:r>
      <w:proofErr w:type="spellEnd"/>
      <w:r w:rsidRPr="00F13140">
        <w:rPr>
          <w:rFonts w:asciiTheme="majorBidi" w:hAnsiTheme="majorBidi" w:cs="David"/>
        </w:rPr>
        <w:t xml:space="preserve">, Hybridity and Representation in Mandeville’s Travels,” in </w:t>
      </w:r>
      <w:r w:rsidRPr="00F13140">
        <w:rPr>
          <w:rStyle w:val="aa"/>
          <w:rFonts w:asciiTheme="majorBidi" w:hAnsiTheme="majorBidi" w:cs="David"/>
          <w:i/>
          <w:iCs/>
        </w:rPr>
        <w:t>The Monstrous Middle Ages</w:t>
      </w:r>
      <w:r w:rsidRPr="00F13140">
        <w:rPr>
          <w:rStyle w:val="aa"/>
          <w:rFonts w:asciiTheme="majorBidi" w:hAnsiTheme="majorBidi" w:cs="David"/>
        </w:rPr>
        <w:t>, ed.</w:t>
      </w:r>
      <w:r w:rsidRPr="00F13140">
        <w:rPr>
          <w:rStyle w:val="apple-converted-space"/>
          <w:rFonts w:asciiTheme="majorBidi" w:hAnsiTheme="majorBidi" w:cs="David"/>
        </w:rPr>
        <w:t> </w:t>
      </w:r>
      <w:r w:rsidRPr="00F13140">
        <w:rPr>
          <w:rStyle w:val="apple-style-span"/>
          <w:rFonts w:asciiTheme="majorBidi" w:hAnsiTheme="majorBidi" w:cs="David"/>
        </w:rPr>
        <w:t xml:space="preserve">Bettina </w:t>
      </w:r>
      <w:proofErr w:type="spellStart"/>
      <w:r w:rsidRPr="00F13140">
        <w:rPr>
          <w:rStyle w:val="apple-style-span"/>
          <w:rFonts w:asciiTheme="majorBidi" w:hAnsiTheme="majorBidi" w:cs="David"/>
        </w:rPr>
        <w:t>Bildhauer</w:t>
      </w:r>
      <w:proofErr w:type="spellEnd"/>
      <w:r w:rsidRPr="00F13140">
        <w:rPr>
          <w:rStyle w:val="apple-style-span"/>
          <w:rFonts w:asciiTheme="majorBidi" w:hAnsiTheme="majorBidi" w:cs="David"/>
        </w:rPr>
        <w:t xml:space="preserve"> and Robert Mills, (Toronto,</w:t>
      </w:r>
      <w:r w:rsidRPr="00F13140">
        <w:rPr>
          <w:rStyle w:val="apple-style-span"/>
          <w:rFonts w:asciiTheme="majorBidi" w:hAnsiTheme="majorBidi" w:cs="David"/>
          <w:color w:val="000000"/>
        </w:rPr>
        <w:t xml:space="preserve"> 2003), 113</w:t>
      </w:r>
      <w:r w:rsidRPr="00F13140">
        <w:rPr>
          <w:rFonts w:asciiTheme="majorBidi" w:hAnsiTheme="majorBidi" w:cs="David"/>
          <w:color w:val="000000"/>
        </w:rPr>
        <w:t>-1</w:t>
      </w:r>
      <w:r w:rsidRPr="00F13140">
        <w:rPr>
          <w:rStyle w:val="apple-style-span"/>
          <w:rFonts w:asciiTheme="majorBidi" w:hAnsiTheme="majorBidi" w:cs="David"/>
          <w:color w:val="000000"/>
        </w:rPr>
        <w:t xml:space="preserve">33. </w:t>
      </w:r>
    </w:p>
    <w:p w:rsidR="00DD22DD" w:rsidRPr="00F13140" w:rsidRDefault="00DD22DD" w:rsidP="00DD22DD">
      <w:pPr>
        <w:bidi w:val="0"/>
        <w:ind w:right="720"/>
        <w:rPr>
          <w:rFonts w:asciiTheme="majorBidi" w:hAnsiTheme="majorBidi" w:cs="David"/>
          <w:b/>
          <w:bCs/>
          <w:iCs/>
        </w:rPr>
      </w:pPr>
    </w:p>
    <w:p w:rsidR="00DD22DD" w:rsidRPr="00F13140" w:rsidRDefault="00DD22DD" w:rsidP="00DD22DD">
      <w:pPr>
        <w:numPr>
          <w:ilvl w:val="0"/>
          <w:numId w:val="3"/>
        </w:numPr>
        <w:rPr>
          <w:rFonts w:asciiTheme="majorBidi" w:hAnsiTheme="majorBidi" w:cs="David"/>
          <w:b/>
          <w:bCs/>
          <w:u w:val="single"/>
        </w:rPr>
      </w:pPr>
      <w:proofErr w:type="spellStart"/>
      <w:r w:rsidRPr="00F13140">
        <w:rPr>
          <w:rFonts w:asciiTheme="majorBidi" w:hAnsiTheme="majorBidi" w:cs="David"/>
          <w:b/>
          <w:bCs/>
          <w:u w:val="single"/>
          <w:rtl/>
        </w:rPr>
        <w:t>סימולקרום</w:t>
      </w:r>
      <w:proofErr w:type="spellEnd"/>
      <w:r w:rsidRPr="00F13140">
        <w:rPr>
          <w:rFonts w:asciiTheme="majorBidi" w:hAnsiTheme="majorBidi" w:cs="David"/>
          <w:b/>
          <w:bCs/>
          <w:u w:val="single"/>
          <w:rtl/>
        </w:rPr>
        <w:t xml:space="preserve"> ודיסני</w:t>
      </w:r>
    </w:p>
    <w:p w:rsidR="00DD22DD" w:rsidRPr="00F13140" w:rsidRDefault="00DD22DD" w:rsidP="00DD22DD">
      <w:pPr>
        <w:bidi w:val="0"/>
        <w:ind w:right="720"/>
        <w:rPr>
          <w:rFonts w:asciiTheme="majorBidi" w:hAnsiTheme="majorBidi" w:cs="David"/>
          <w:iCs/>
        </w:rPr>
      </w:pPr>
      <w:r w:rsidRPr="00F13140">
        <w:rPr>
          <w:rFonts w:asciiTheme="majorBidi" w:hAnsiTheme="majorBidi" w:cs="David"/>
        </w:rPr>
        <w:t xml:space="preserve">Assaf </w:t>
      </w:r>
      <w:proofErr w:type="spellStart"/>
      <w:r w:rsidRPr="00F13140">
        <w:rPr>
          <w:rFonts w:asciiTheme="majorBidi" w:hAnsiTheme="majorBidi" w:cs="David"/>
        </w:rPr>
        <w:t>Pinkus</w:t>
      </w:r>
      <w:proofErr w:type="spellEnd"/>
      <w:r w:rsidRPr="00F13140">
        <w:rPr>
          <w:rFonts w:asciiTheme="majorBidi" w:hAnsiTheme="majorBidi" w:cs="David"/>
        </w:rPr>
        <w:t xml:space="preserve">, “Gothic </w:t>
      </w:r>
      <w:proofErr w:type="spellStart"/>
      <w:r w:rsidRPr="00F13140">
        <w:rPr>
          <w:rFonts w:asciiTheme="majorBidi" w:hAnsiTheme="majorBidi" w:cs="David"/>
        </w:rPr>
        <w:t>Symulachra</w:t>
      </w:r>
      <w:proofErr w:type="spellEnd"/>
      <w:r w:rsidRPr="00F13140">
        <w:rPr>
          <w:rFonts w:asciiTheme="majorBidi" w:hAnsiTheme="majorBidi" w:cs="David"/>
        </w:rPr>
        <w:t xml:space="preserve">: The </w:t>
      </w:r>
      <w:proofErr w:type="spellStart"/>
      <w:r>
        <w:rPr>
          <w:rFonts w:asciiTheme="majorBidi" w:hAnsiTheme="majorBidi" w:cs="David"/>
        </w:rPr>
        <w:t>Naumburger</w:t>
      </w:r>
      <w:proofErr w:type="spellEnd"/>
      <w:r>
        <w:rPr>
          <w:rFonts w:asciiTheme="majorBidi" w:hAnsiTheme="majorBidi" w:cs="David"/>
        </w:rPr>
        <w:t xml:space="preserve"> </w:t>
      </w:r>
      <w:proofErr w:type="spellStart"/>
      <w:r>
        <w:rPr>
          <w:rFonts w:asciiTheme="majorBidi" w:hAnsiTheme="majorBidi" w:cs="David"/>
        </w:rPr>
        <w:t>Stifterfiguren</w:t>
      </w:r>
      <w:proofErr w:type="spellEnd"/>
      <w:proofErr w:type="gramStart"/>
      <w:r>
        <w:rPr>
          <w:rFonts w:asciiTheme="majorBidi" w:hAnsiTheme="majorBidi" w:cs="David"/>
        </w:rPr>
        <w:t>,,”</w:t>
      </w:r>
      <w:proofErr w:type="gramEnd"/>
      <w:r>
        <w:rPr>
          <w:rFonts w:asciiTheme="majorBidi" w:hAnsiTheme="majorBidi" w:cs="David"/>
        </w:rPr>
        <w:t xml:space="preserve"> in</w:t>
      </w:r>
      <w:r w:rsidRPr="00F13140">
        <w:rPr>
          <w:rFonts w:asciiTheme="majorBidi" w:hAnsiTheme="majorBidi" w:cs="David"/>
        </w:rPr>
        <w:t xml:space="preserve"> </w:t>
      </w:r>
      <w:r w:rsidRPr="00F13140">
        <w:rPr>
          <w:rFonts w:asciiTheme="majorBidi" w:hAnsiTheme="majorBidi" w:cs="David"/>
          <w:i/>
          <w:iCs/>
        </w:rPr>
        <w:t xml:space="preserve">Der </w:t>
      </w:r>
      <w:proofErr w:type="spellStart"/>
      <w:r w:rsidRPr="00F13140">
        <w:rPr>
          <w:rFonts w:asciiTheme="majorBidi" w:hAnsiTheme="majorBidi" w:cs="David"/>
          <w:i/>
          <w:iCs/>
        </w:rPr>
        <w:t>Naumburger</w:t>
      </w:r>
      <w:proofErr w:type="spellEnd"/>
      <w:r w:rsidRPr="00F13140">
        <w:rPr>
          <w:rFonts w:asciiTheme="majorBidi" w:hAnsiTheme="majorBidi" w:cs="David"/>
          <w:i/>
          <w:iCs/>
        </w:rPr>
        <w:t xml:space="preserve"> Meister – </w:t>
      </w:r>
      <w:proofErr w:type="spellStart"/>
      <w:r w:rsidRPr="00F13140">
        <w:rPr>
          <w:rFonts w:asciiTheme="majorBidi" w:hAnsiTheme="majorBidi" w:cs="David"/>
          <w:i/>
          <w:iCs/>
        </w:rPr>
        <w:t>Bildhauer</w:t>
      </w:r>
      <w:proofErr w:type="spellEnd"/>
      <w:r w:rsidRPr="00F13140">
        <w:rPr>
          <w:rFonts w:asciiTheme="majorBidi" w:hAnsiTheme="majorBidi" w:cs="David"/>
          <w:i/>
          <w:iCs/>
        </w:rPr>
        <w:t xml:space="preserve"> und </w:t>
      </w:r>
      <w:proofErr w:type="spellStart"/>
      <w:r w:rsidRPr="00F13140">
        <w:rPr>
          <w:rFonts w:asciiTheme="majorBidi" w:hAnsiTheme="majorBidi" w:cs="David"/>
          <w:i/>
          <w:iCs/>
        </w:rPr>
        <w:t>Architekt</w:t>
      </w:r>
      <w:proofErr w:type="spellEnd"/>
      <w:r w:rsidRPr="00F13140">
        <w:rPr>
          <w:rFonts w:asciiTheme="majorBidi" w:hAnsiTheme="majorBidi" w:cs="David"/>
          <w:i/>
          <w:iCs/>
        </w:rPr>
        <w:t xml:space="preserve"> </w:t>
      </w:r>
      <w:proofErr w:type="spellStart"/>
      <w:r w:rsidRPr="00F13140">
        <w:rPr>
          <w:rFonts w:asciiTheme="majorBidi" w:hAnsiTheme="majorBidi" w:cs="David"/>
          <w:i/>
          <w:iCs/>
        </w:rPr>
        <w:t>im</w:t>
      </w:r>
      <w:proofErr w:type="spellEnd"/>
      <w:r w:rsidRPr="00F13140">
        <w:rPr>
          <w:rFonts w:asciiTheme="majorBidi" w:hAnsiTheme="majorBidi" w:cs="David"/>
          <w:i/>
          <w:iCs/>
        </w:rPr>
        <w:t xml:space="preserve"> Europa der </w:t>
      </w:r>
      <w:proofErr w:type="spellStart"/>
      <w:r w:rsidRPr="00F13140">
        <w:rPr>
          <w:rFonts w:asciiTheme="majorBidi" w:hAnsiTheme="majorBidi" w:cs="David"/>
          <w:i/>
          <w:iCs/>
        </w:rPr>
        <w:t>Kathedralen</w:t>
      </w:r>
      <w:proofErr w:type="spellEnd"/>
      <w:r w:rsidRPr="00F13140">
        <w:rPr>
          <w:rFonts w:asciiTheme="majorBidi" w:hAnsiTheme="majorBidi" w:cs="David"/>
        </w:rPr>
        <w:t>, vol. 3, ed. Guido Siebert (</w:t>
      </w:r>
      <w:proofErr w:type="spellStart"/>
      <w:r w:rsidRPr="00F13140">
        <w:rPr>
          <w:rFonts w:asciiTheme="majorBidi" w:hAnsiTheme="majorBidi" w:cs="David"/>
        </w:rPr>
        <w:t>Petersberg</w:t>
      </w:r>
      <w:proofErr w:type="spellEnd"/>
      <w:r w:rsidRPr="00F13140">
        <w:rPr>
          <w:rFonts w:asciiTheme="majorBidi" w:hAnsiTheme="majorBidi" w:cs="David"/>
        </w:rPr>
        <w:t xml:space="preserve">, 2013), 204-217. </w:t>
      </w:r>
    </w:p>
    <w:p w:rsidR="00DD22DD" w:rsidRPr="00F13140" w:rsidRDefault="00DD22DD" w:rsidP="00DD22DD">
      <w:pPr>
        <w:bidi w:val="0"/>
        <w:ind w:right="720"/>
        <w:rPr>
          <w:rFonts w:asciiTheme="majorBidi" w:hAnsiTheme="majorBidi" w:cs="David"/>
          <w:iCs/>
        </w:rPr>
      </w:pPr>
      <w:r w:rsidRPr="00F13140">
        <w:rPr>
          <w:rFonts w:asciiTheme="majorBidi" w:hAnsiTheme="majorBidi" w:cs="David"/>
          <w:iCs/>
        </w:rPr>
        <w:t xml:space="preserve">Assaf Pinkus, “Imaginative Responses to Gothic Sculpture: the Bamberg Rider,” </w:t>
      </w:r>
      <w:proofErr w:type="spellStart"/>
      <w:r w:rsidRPr="00F13140">
        <w:rPr>
          <w:rFonts w:asciiTheme="majorBidi" w:hAnsiTheme="majorBidi" w:cs="David"/>
          <w:i/>
        </w:rPr>
        <w:t>Viator</w:t>
      </w:r>
      <w:proofErr w:type="spellEnd"/>
      <w:r w:rsidRPr="00F13140">
        <w:rPr>
          <w:rFonts w:asciiTheme="majorBidi" w:hAnsiTheme="majorBidi" w:cs="David"/>
          <w:iCs/>
        </w:rPr>
        <w:t xml:space="preserve"> </w:t>
      </w:r>
      <w:r w:rsidRPr="00F13140">
        <w:rPr>
          <w:rFonts w:asciiTheme="majorBidi" w:hAnsiTheme="majorBidi" w:cs="David"/>
          <w:color w:val="000000"/>
        </w:rPr>
        <w:t>45, no. 1 (2014)</w:t>
      </w:r>
      <w:r w:rsidRPr="00F13140">
        <w:rPr>
          <w:rFonts w:asciiTheme="majorBidi" w:hAnsiTheme="majorBidi" w:cs="David"/>
          <w:iCs/>
        </w:rPr>
        <w:t>, 331-360.</w:t>
      </w:r>
    </w:p>
    <w:p w:rsidR="00DD22DD" w:rsidRPr="00F13140" w:rsidRDefault="00DD22DD" w:rsidP="00DD22DD">
      <w:pPr>
        <w:bidi w:val="0"/>
        <w:contextualSpacing/>
        <w:rPr>
          <w:rFonts w:asciiTheme="majorBidi" w:hAnsiTheme="majorBidi" w:cs="David"/>
          <w:color w:val="000000"/>
          <w:rtl/>
        </w:rPr>
      </w:pPr>
      <w:proofErr w:type="spellStart"/>
      <w:r w:rsidRPr="00F13140">
        <w:rPr>
          <w:rFonts w:asciiTheme="majorBidi" w:hAnsiTheme="majorBidi" w:cs="David"/>
          <w:color w:val="000000"/>
        </w:rPr>
        <w:t>Girveau</w:t>
      </w:r>
      <w:proofErr w:type="spellEnd"/>
      <w:r w:rsidRPr="00F13140">
        <w:rPr>
          <w:rFonts w:asciiTheme="majorBidi" w:hAnsiTheme="majorBidi" w:cs="David"/>
          <w:color w:val="000000"/>
        </w:rPr>
        <w:t xml:space="preserve">, Bruno. </w:t>
      </w:r>
      <w:r w:rsidRPr="00F13140">
        <w:rPr>
          <w:rFonts w:asciiTheme="majorBidi" w:hAnsiTheme="majorBidi" w:cs="David"/>
          <w:i/>
          <w:iCs/>
        </w:rPr>
        <w:t>Once Upon a Time—Walt Disney: The Sources of Inspiration for the Disney Studios</w:t>
      </w:r>
      <w:r w:rsidRPr="00F13140">
        <w:rPr>
          <w:rFonts w:asciiTheme="majorBidi" w:hAnsiTheme="majorBidi" w:cs="David"/>
          <w:color w:val="000000"/>
        </w:rPr>
        <w:t xml:space="preserve">. Munich: Prestel, 2006. </w:t>
      </w:r>
    </w:p>
    <w:p w:rsidR="00DD22DD" w:rsidRPr="00F13140" w:rsidRDefault="00DD22DD" w:rsidP="00DD22DD">
      <w:pPr>
        <w:ind w:right="720"/>
        <w:rPr>
          <w:rFonts w:asciiTheme="majorBidi" w:hAnsiTheme="majorBidi" w:cs="David"/>
        </w:rPr>
      </w:pPr>
    </w:p>
    <w:p w:rsidR="00DD22DD" w:rsidRPr="00F13140" w:rsidRDefault="00DD22DD" w:rsidP="00DD22DD">
      <w:pPr>
        <w:numPr>
          <w:ilvl w:val="0"/>
          <w:numId w:val="3"/>
        </w:numPr>
        <w:rPr>
          <w:rFonts w:asciiTheme="majorBidi" w:hAnsiTheme="majorBidi" w:cs="David"/>
          <w:b/>
          <w:bCs/>
          <w:u w:val="single"/>
          <w:rtl/>
        </w:rPr>
      </w:pPr>
      <w:r w:rsidRPr="00F13140">
        <w:rPr>
          <w:rFonts w:asciiTheme="majorBidi" w:hAnsiTheme="majorBidi" w:cs="David"/>
          <w:b/>
          <w:bCs/>
          <w:u w:val="single"/>
          <w:rtl/>
        </w:rPr>
        <w:lastRenderedPageBreak/>
        <w:t>אשליה ותרמית העין</w:t>
      </w:r>
    </w:p>
    <w:p w:rsidR="00DD22DD" w:rsidRPr="00F13140" w:rsidRDefault="00DD22DD" w:rsidP="00DD22DD">
      <w:pPr>
        <w:bidi w:val="0"/>
        <w:rPr>
          <w:rFonts w:asciiTheme="majorBidi" w:hAnsiTheme="majorBidi" w:cs="David"/>
        </w:rPr>
      </w:pPr>
      <w:r w:rsidRPr="00F13140">
        <w:rPr>
          <w:rFonts w:asciiTheme="majorBidi" w:hAnsiTheme="majorBidi" w:cs="David"/>
        </w:rPr>
        <w:t xml:space="preserve">Hubert </w:t>
      </w:r>
      <w:proofErr w:type="spellStart"/>
      <w:r w:rsidRPr="00F13140">
        <w:rPr>
          <w:rFonts w:asciiTheme="majorBidi" w:hAnsiTheme="majorBidi" w:cs="David"/>
        </w:rPr>
        <w:t>Damisch</w:t>
      </w:r>
      <w:proofErr w:type="spellEnd"/>
      <w:r w:rsidRPr="00F13140">
        <w:rPr>
          <w:rFonts w:asciiTheme="majorBidi" w:hAnsiTheme="majorBidi" w:cs="David"/>
        </w:rPr>
        <w:t xml:space="preserve">, </w:t>
      </w:r>
      <w:r w:rsidRPr="00F13140">
        <w:rPr>
          <w:rFonts w:asciiTheme="majorBidi" w:hAnsiTheme="majorBidi" w:cs="David"/>
          <w:i/>
          <w:iCs/>
        </w:rPr>
        <w:t>The Origin of Perspective</w:t>
      </w:r>
      <w:r w:rsidRPr="00F13140">
        <w:rPr>
          <w:rFonts w:asciiTheme="majorBidi" w:hAnsiTheme="majorBidi" w:cs="David"/>
        </w:rPr>
        <w:t xml:space="preserve">, </w:t>
      </w:r>
      <w:proofErr w:type="gramStart"/>
      <w:r w:rsidRPr="00F13140">
        <w:rPr>
          <w:rFonts w:asciiTheme="majorBidi" w:hAnsiTheme="majorBidi" w:cs="David"/>
        </w:rPr>
        <w:t>trans</w:t>
      </w:r>
      <w:proofErr w:type="gramEnd"/>
      <w:r w:rsidRPr="00F13140">
        <w:rPr>
          <w:rFonts w:asciiTheme="majorBidi" w:hAnsiTheme="majorBidi" w:cs="David"/>
        </w:rPr>
        <w:t xml:space="preserve">, John Goodman (Cambridge, 1995), xiii-xxiv. </w:t>
      </w:r>
    </w:p>
    <w:p w:rsidR="00DD22DD" w:rsidRPr="00F13140" w:rsidRDefault="00DD22DD" w:rsidP="00DD22DD">
      <w:pPr>
        <w:numPr>
          <w:ilvl w:val="0"/>
          <w:numId w:val="3"/>
        </w:numPr>
        <w:rPr>
          <w:rFonts w:asciiTheme="majorBidi" w:hAnsiTheme="majorBidi" w:cs="David"/>
          <w:b/>
          <w:bCs/>
          <w:u w:val="single"/>
        </w:rPr>
      </w:pPr>
      <w:r w:rsidRPr="00F13140">
        <w:rPr>
          <w:rFonts w:asciiTheme="majorBidi" w:hAnsiTheme="majorBidi" w:cs="David"/>
          <w:b/>
          <w:bCs/>
          <w:u w:val="single"/>
          <w:rtl/>
        </w:rPr>
        <w:t>הסעודה האחרונה:</w:t>
      </w:r>
    </w:p>
    <w:p w:rsidR="00DD22DD" w:rsidRPr="00F13140" w:rsidRDefault="00DD22DD" w:rsidP="00DD22DD">
      <w:pPr>
        <w:pStyle w:val="NormalWeb"/>
        <w:rPr>
          <w:rFonts w:asciiTheme="majorBidi" w:hAnsiTheme="majorBidi" w:cs="David"/>
          <w:b/>
          <w:bCs/>
        </w:rPr>
      </w:pPr>
      <w:r w:rsidRPr="00F13140">
        <w:rPr>
          <w:rFonts w:asciiTheme="majorBidi" w:hAnsiTheme="majorBidi" w:cs="David"/>
        </w:rPr>
        <w:t>Jack Wasserman, "Rethinking Leonardo da Vinci's Last Supper,</w:t>
      </w:r>
      <w:r w:rsidRPr="00F13140">
        <w:rPr>
          <w:rStyle w:val="apple-converted-space"/>
          <w:rFonts w:asciiTheme="majorBidi" w:hAnsiTheme="majorBidi" w:cs="David"/>
        </w:rPr>
        <w:t>" </w:t>
      </w:r>
      <w:proofErr w:type="spellStart"/>
      <w:r w:rsidRPr="00F13140">
        <w:rPr>
          <w:rStyle w:val="apple-style-span"/>
          <w:rFonts w:asciiTheme="majorBidi" w:hAnsiTheme="majorBidi" w:cs="David"/>
          <w:i/>
          <w:iCs/>
        </w:rPr>
        <w:t>Artibus</w:t>
      </w:r>
      <w:proofErr w:type="spellEnd"/>
      <w:r w:rsidRPr="00F13140">
        <w:rPr>
          <w:rStyle w:val="apple-style-span"/>
          <w:rFonts w:asciiTheme="majorBidi" w:hAnsiTheme="majorBidi" w:cs="David"/>
          <w:i/>
          <w:iCs/>
        </w:rPr>
        <w:t xml:space="preserve"> </w:t>
      </w:r>
      <w:proofErr w:type="gramStart"/>
      <w:r w:rsidRPr="00F13140">
        <w:rPr>
          <w:rStyle w:val="apple-style-span"/>
          <w:rFonts w:asciiTheme="majorBidi" w:hAnsiTheme="majorBidi" w:cs="David"/>
          <w:i/>
          <w:iCs/>
        </w:rPr>
        <w:t>et</w:t>
      </w:r>
      <w:proofErr w:type="gramEnd"/>
      <w:r w:rsidRPr="00F13140">
        <w:rPr>
          <w:rStyle w:val="apple-style-span"/>
          <w:rFonts w:asciiTheme="majorBidi" w:hAnsiTheme="majorBidi" w:cs="David"/>
          <w:i/>
          <w:iCs/>
        </w:rPr>
        <w:t xml:space="preserve"> </w:t>
      </w:r>
      <w:proofErr w:type="spellStart"/>
      <w:r w:rsidRPr="00F13140">
        <w:rPr>
          <w:rStyle w:val="apple-style-span"/>
          <w:rFonts w:asciiTheme="majorBidi" w:hAnsiTheme="majorBidi" w:cs="David"/>
          <w:i/>
          <w:iCs/>
        </w:rPr>
        <w:t>historiae</w:t>
      </w:r>
      <w:proofErr w:type="spellEnd"/>
      <w:r w:rsidRPr="00F13140">
        <w:rPr>
          <w:rStyle w:val="apple-style-span"/>
          <w:rFonts w:asciiTheme="majorBidi" w:hAnsiTheme="majorBidi" w:cs="David"/>
        </w:rPr>
        <w:t xml:space="preserve"> 28 (2007), 23-35. </w:t>
      </w:r>
    </w:p>
    <w:p w:rsidR="00DD22DD" w:rsidRPr="00F13140" w:rsidRDefault="00DD22DD" w:rsidP="00DD22DD">
      <w:pPr>
        <w:ind w:right="720" w:firstLine="720"/>
        <w:rPr>
          <w:rFonts w:asciiTheme="majorBidi" w:hAnsiTheme="majorBidi" w:cs="David"/>
          <w:b/>
          <w:bCs/>
        </w:rPr>
      </w:pPr>
      <w:r w:rsidRPr="00F13140">
        <w:rPr>
          <w:rFonts w:asciiTheme="majorBidi" w:hAnsiTheme="majorBidi" w:cs="David"/>
          <w:b/>
          <w:bCs/>
          <w:u w:val="single"/>
          <w:rtl/>
          <w:lang w:val="de-DE"/>
        </w:rPr>
        <w:t>מבט גברי/מבט נשי</w:t>
      </w:r>
      <w:r w:rsidRPr="00F13140">
        <w:rPr>
          <w:rFonts w:asciiTheme="majorBidi" w:hAnsiTheme="majorBidi" w:cs="David"/>
          <w:b/>
          <w:bCs/>
          <w:rtl/>
          <w:lang w:val="de-DE"/>
        </w:rPr>
        <w:t>:</w:t>
      </w:r>
    </w:p>
    <w:p w:rsidR="00DD22DD" w:rsidRPr="00F13140" w:rsidRDefault="00DD22DD" w:rsidP="00DD22DD">
      <w:pPr>
        <w:bidi w:val="0"/>
        <w:rPr>
          <w:rFonts w:asciiTheme="majorBidi" w:hAnsiTheme="majorBidi" w:cs="David"/>
          <w:rtl/>
        </w:rPr>
      </w:pPr>
      <w:r w:rsidRPr="00F13140">
        <w:rPr>
          <w:rFonts w:asciiTheme="majorBidi" w:hAnsiTheme="majorBidi" w:cs="David"/>
        </w:rPr>
        <w:t xml:space="preserve">John Berger, </w:t>
      </w:r>
      <w:r w:rsidRPr="00F13140">
        <w:rPr>
          <w:rFonts w:asciiTheme="majorBidi" w:hAnsiTheme="majorBidi" w:cs="David"/>
          <w:i/>
          <w:iCs/>
        </w:rPr>
        <w:t>Ways of Seeing</w:t>
      </w:r>
      <w:r w:rsidRPr="00F13140">
        <w:rPr>
          <w:rFonts w:asciiTheme="majorBidi" w:hAnsiTheme="majorBidi" w:cs="David"/>
        </w:rPr>
        <w:t xml:space="preserve"> (</w:t>
      </w:r>
      <w:proofErr w:type="spellStart"/>
      <w:r w:rsidRPr="00F13140">
        <w:rPr>
          <w:rFonts w:asciiTheme="majorBidi" w:hAnsiTheme="majorBidi" w:cs="David"/>
        </w:rPr>
        <w:t>Lonson</w:t>
      </w:r>
      <w:proofErr w:type="spellEnd"/>
      <w:r w:rsidRPr="00F13140">
        <w:rPr>
          <w:rFonts w:asciiTheme="majorBidi" w:hAnsiTheme="majorBidi" w:cs="David"/>
        </w:rPr>
        <w:t>, 1972) chap. 7</w:t>
      </w:r>
      <w:r w:rsidRPr="00F13140">
        <w:rPr>
          <w:rFonts w:asciiTheme="majorBidi" w:hAnsiTheme="majorBidi" w:cs="David"/>
          <w:rtl/>
        </w:rPr>
        <w:t xml:space="preserve"> </w:t>
      </w:r>
    </w:p>
    <w:p w:rsidR="00DD22DD" w:rsidRPr="00F13140" w:rsidRDefault="00DD22DD" w:rsidP="00DD22DD">
      <w:pPr>
        <w:bidi w:val="0"/>
        <w:rPr>
          <w:rFonts w:asciiTheme="majorBidi" w:hAnsiTheme="majorBidi" w:cs="David"/>
        </w:rPr>
      </w:pPr>
      <w:r w:rsidRPr="00F13140">
        <w:rPr>
          <w:rFonts w:asciiTheme="majorBidi" w:hAnsiTheme="majorBidi" w:cs="David"/>
        </w:rPr>
        <w:t xml:space="preserve">Stephen Neale, “Masculinity as Spectacle,” in </w:t>
      </w:r>
      <w:r w:rsidRPr="00F13140">
        <w:rPr>
          <w:rFonts w:asciiTheme="majorBidi" w:hAnsiTheme="majorBidi" w:cs="David"/>
          <w:i/>
          <w:iCs/>
        </w:rPr>
        <w:t xml:space="preserve">The Sexual Subject: A Screen Reader in Sexuality </w:t>
      </w:r>
      <w:r w:rsidRPr="00F13140">
        <w:rPr>
          <w:rFonts w:asciiTheme="majorBidi" w:hAnsiTheme="majorBidi" w:cs="David"/>
        </w:rPr>
        <w:t xml:space="preserve">(London, 1992), 277-290. </w:t>
      </w:r>
    </w:p>
    <w:p w:rsidR="00DD22DD" w:rsidRPr="00F13140" w:rsidRDefault="00DD22DD" w:rsidP="00DD22DD">
      <w:pPr>
        <w:bidi w:val="0"/>
        <w:rPr>
          <w:rFonts w:asciiTheme="majorBidi" w:hAnsiTheme="majorBidi" w:cs="David"/>
        </w:rPr>
      </w:pPr>
      <w:proofErr w:type="spellStart"/>
      <w:r w:rsidRPr="00F13140">
        <w:rPr>
          <w:rFonts w:asciiTheme="majorBidi" w:hAnsiTheme="majorBidi" w:cs="David"/>
        </w:rPr>
        <w:t>Christelle</w:t>
      </w:r>
      <w:proofErr w:type="spellEnd"/>
      <w:r w:rsidRPr="00F13140">
        <w:rPr>
          <w:rFonts w:asciiTheme="majorBidi" w:hAnsiTheme="majorBidi" w:cs="David"/>
        </w:rPr>
        <w:t xml:space="preserve"> Baskins, “Gender Trouble in Italian Renaissance Art History: Two Case Study,” </w:t>
      </w:r>
      <w:r w:rsidRPr="00F13140">
        <w:rPr>
          <w:rFonts w:asciiTheme="majorBidi" w:hAnsiTheme="majorBidi" w:cs="David"/>
          <w:i/>
          <w:iCs/>
        </w:rPr>
        <w:t>Studies in Iconography</w:t>
      </w:r>
      <w:r w:rsidRPr="00F13140">
        <w:rPr>
          <w:rFonts w:asciiTheme="majorBidi" w:hAnsiTheme="majorBidi" w:cs="David"/>
        </w:rPr>
        <w:t xml:space="preserve"> 16 (1994), 1-36. </w:t>
      </w:r>
    </w:p>
    <w:p w:rsidR="00DD22DD" w:rsidRPr="00F13140" w:rsidRDefault="00DD22DD" w:rsidP="00DD22DD">
      <w:pPr>
        <w:ind w:firstLine="720"/>
        <w:rPr>
          <w:rFonts w:asciiTheme="majorBidi" w:hAnsiTheme="majorBidi" w:cs="David"/>
          <w:b/>
          <w:bCs/>
          <w:u w:val="single"/>
          <w:rtl/>
        </w:rPr>
      </w:pPr>
      <w:r w:rsidRPr="00F13140">
        <w:rPr>
          <w:rFonts w:asciiTheme="majorBidi" w:hAnsiTheme="majorBidi" w:cs="David"/>
          <w:b/>
          <w:bCs/>
          <w:u w:val="single"/>
          <w:rtl/>
        </w:rPr>
        <w:t xml:space="preserve">המבט לאן? </w:t>
      </w:r>
    </w:p>
    <w:p w:rsidR="00DD22DD" w:rsidRPr="00F13140" w:rsidRDefault="00DD22DD" w:rsidP="00DD22DD">
      <w:pPr>
        <w:bidi w:val="0"/>
        <w:rPr>
          <w:rFonts w:asciiTheme="majorBidi" w:hAnsiTheme="majorBidi" w:cs="David"/>
        </w:rPr>
      </w:pPr>
      <w:r w:rsidRPr="00F13140">
        <w:rPr>
          <w:rStyle w:val="apple-style-span"/>
          <w:rFonts w:asciiTheme="majorBidi" w:hAnsiTheme="majorBidi" w:cs="David"/>
          <w:color w:val="000000"/>
        </w:rPr>
        <w:t>Norman Bryson, "'The Gaze in the Expanded Field,</w:t>
      </w:r>
      <w:r w:rsidRPr="00F13140">
        <w:rPr>
          <w:rStyle w:val="apple-style-span"/>
          <w:rFonts w:asciiTheme="majorBidi" w:hAnsiTheme="majorBidi" w:cs="David"/>
          <w:color w:val="000000"/>
          <w:rtl/>
        </w:rPr>
        <w:t>"</w:t>
      </w:r>
      <w:r w:rsidRPr="00F13140">
        <w:rPr>
          <w:rStyle w:val="apple-style-span"/>
          <w:rFonts w:asciiTheme="majorBidi" w:hAnsiTheme="majorBidi" w:cs="David"/>
          <w:color w:val="000000"/>
        </w:rPr>
        <w:t xml:space="preserve"> in </w:t>
      </w:r>
      <w:r w:rsidRPr="00F13140">
        <w:rPr>
          <w:rFonts w:asciiTheme="majorBidi" w:hAnsiTheme="majorBidi" w:cs="David"/>
          <w:i/>
          <w:iCs/>
          <w:color w:val="000000"/>
        </w:rPr>
        <w:t xml:space="preserve">Vision and </w:t>
      </w:r>
      <w:proofErr w:type="spellStart"/>
      <w:r w:rsidRPr="00F13140">
        <w:rPr>
          <w:rFonts w:asciiTheme="majorBidi" w:hAnsiTheme="majorBidi" w:cs="David"/>
          <w:i/>
          <w:iCs/>
          <w:color w:val="000000"/>
        </w:rPr>
        <w:t>Visuality</w:t>
      </w:r>
      <w:proofErr w:type="spellEnd"/>
      <w:r w:rsidRPr="00F13140">
        <w:rPr>
          <w:rStyle w:val="apple-style-span"/>
          <w:rFonts w:asciiTheme="majorBidi" w:hAnsiTheme="majorBidi" w:cs="David"/>
          <w:color w:val="000000"/>
        </w:rPr>
        <w:t>, ed. Hall Foster</w:t>
      </w:r>
      <w:r w:rsidRPr="00F13140">
        <w:rPr>
          <w:rStyle w:val="apple-style-span"/>
          <w:rFonts w:asciiTheme="majorBidi" w:hAnsiTheme="majorBidi" w:cs="David"/>
          <w:color w:val="000000"/>
        </w:rPr>
        <w:tab/>
        <w:t xml:space="preserve"> </w:t>
      </w:r>
      <w:r w:rsidRPr="00F13140">
        <w:rPr>
          <w:rFonts w:asciiTheme="majorBidi" w:hAnsiTheme="majorBidi" w:cs="David"/>
        </w:rPr>
        <w:t>(Seattle, 1988)</w:t>
      </w:r>
      <w:r w:rsidRPr="00F13140">
        <w:rPr>
          <w:rStyle w:val="apple-style-span"/>
          <w:rFonts w:asciiTheme="majorBidi" w:hAnsiTheme="majorBidi" w:cs="David"/>
          <w:color w:val="000000"/>
        </w:rPr>
        <w:t>, 87-113.</w:t>
      </w:r>
    </w:p>
    <w:p w:rsidR="00DD22DD" w:rsidRPr="00073DDB" w:rsidRDefault="00DD22DD" w:rsidP="00073DDB">
      <w:pPr>
        <w:rPr>
          <w:rtl/>
        </w:rPr>
      </w:pPr>
    </w:p>
    <w:sectPr w:rsidR="00DD22DD" w:rsidRPr="00073DDB" w:rsidSect="006A0281">
      <w:headerReference w:type="even" r:id="rId7"/>
      <w:headerReference w:type="default" r:id="rId8"/>
      <w:footerReference w:type="even" r:id="rId9"/>
      <w:footerReference w:type="default" r:id="rId10"/>
      <w:headerReference w:type="first" r:id="rId11"/>
      <w:footerReference w:type="first" r:id="rId12"/>
      <w:pgSz w:w="11906" w:h="16838"/>
      <w:pgMar w:top="2268" w:right="1558" w:bottom="1440" w:left="156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039" w:rsidRDefault="00D34039">
      <w:r>
        <w:separator/>
      </w:r>
    </w:p>
  </w:endnote>
  <w:endnote w:type="continuationSeparator" w:id="0">
    <w:p w:rsidR="00D34039" w:rsidRDefault="00D3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039" w:rsidRDefault="00D34039">
      <w:r>
        <w:separator/>
      </w:r>
    </w:p>
  </w:footnote>
  <w:footnote w:type="continuationSeparator" w:id="0">
    <w:p w:rsidR="00D34039" w:rsidRDefault="00D34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8" name="תמונה 8"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F0524"/>
    <w:multiLevelType w:val="hybridMultilevel"/>
    <w:tmpl w:val="8AA0A1F0"/>
    <w:lvl w:ilvl="0" w:tplc="02A6D3CA">
      <w:start w:val="1"/>
      <w:numFmt w:val="decimal"/>
      <w:lvlText w:val="%1."/>
      <w:lvlJc w:val="left"/>
      <w:pPr>
        <w:ind w:left="1275" w:hanging="12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7B39F0"/>
    <w:multiLevelType w:val="hybridMultilevel"/>
    <w:tmpl w:val="A640985C"/>
    <w:lvl w:ilvl="0" w:tplc="AA3C5FDC">
      <w:start w:val="1"/>
      <w:numFmt w:val="decimal"/>
      <w:lvlText w:val="%1."/>
      <w:lvlJc w:val="left"/>
      <w:pPr>
        <w:tabs>
          <w:tab w:val="num" w:pos="720"/>
        </w:tabs>
        <w:ind w:left="720" w:right="720" w:hanging="360"/>
      </w:pPr>
      <w:rPr>
        <w:rFonts w:hint="cs"/>
        <w:b/>
        <w:bCs/>
        <w:sz w:val="24"/>
        <w:szCs w:val="24"/>
      </w:rPr>
    </w:lvl>
    <w:lvl w:ilvl="1" w:tplc="4D30C218">
      <w:start w:val="8"/>
      <w:numFmt w:val="bullet"/>
      <w:lvlText w:val=""/>
      <w:lvlJc w:val="left"/>
      <w:pPr>
        <w:tabs>
          <w:tab w:val="num" w:pos="1440"/>
        </w:tabs>
        <w:ind w:left="1440" w:right="1440" w:hanging="360"/>
      </w:pPr>
      <w:rPr>
        <w:rFonts w:ascii="Symbol" w:eastAsia="Times New Roman" w:hAnsi="Symbol" w:cs="David" w:hint="default"/>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15:restartNumberingAfterBreak="0">
    <w:nsid w:val="4E1E2A40"/>
    <w:multiLevelType w:val="hybridMultilevel"/>
    <w:tmpl w:val="50122006"/>
    <w:lvl w:ilvl="0" w:tplc="61F0C1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BE18E2"/>
    <w:multiLevelType w:val="hybridMultilevel"/>
    <w:tmpl w:val="C956680C"/>
    <w:lvl w:ilvl="0" w:tplc="73E6BD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17CCC"/>
    <w:rsid w:val="00034270"/>
    <w:rsid w:val="00051AD2"/>
    <w:rsid w:val="00073DDB"/>
    <w:rsid w:val="00077797"/>
    <w:rsid w:val="00120D0C"/>
    <w:rsid w:val="00126AC5"/>
    <w:rsid w:val="00144A93"/>
    <w:rsid w:val="001D5BD8"/>
    <w:rsid w:val="00261DFC"/>
    <w:rsid w:val="002A1374"/>
    <w:rsid w:val="002F3128"/>
    <w:rsid w:val="00304F79"/>
    <w:rsid w:val="003069A9"/>
    <w:rsid w:val="003500FB"/>
    <w:rsid w:val="0035485F"/>
    <w:rsid w:val="003B14FD"/>
    <w:rsid w:val="003F0D2B"/>
    <w:rsid w:val="00441628"/>
    <w:rsid w:val="005B19F1"/>
    <w:rsid w:val="005C6CA9"/>
    <w:rsid w:val="005D13AE"/>
    <w:rsid w:val="00605B84"/>
    <w:rsid w:val="00666D66"/>
    <w:rsid w:val="006A0281"/>
    <w:rsid w:val="00704A16"/>
    <w:rsid w:val="00724D41"/>
    <w:rsid w:val="00736832"/>
    <w:rsid w:val="007F1421"/>
    <w:rsid w:val="008A0D95"/>
    <w:rsid w:val="008D6B2A"/>
    <w:rsid w:val="00933EEA"/>
    <w:rsid w:val="009C24AB"/>
    <w:rsid w:val="00A17197"/>
    <w:rsid w:val="00A313FD"/>
    <w:rsid w:val="00A90047"/>
    <w:rsid w:val="00AF4BCF"/>
    <w:rsid w:val="00B26091"/>
    <w:rsid w:val="00B4223E"/>
    <w:rsid w:val="00B57BCE"/>
    <w:rsid w:val="00B7675C"/>
    <w:rsid w:val="00C52AFE"/>
    <w:rsid w:val="00C65181"/>
    <w:rsid w:val="00C80423"/>
    <w:rsid w:val="00CB4ACB"/>
    <w:rsid w:val="00CF39C7"/>
    <w:rsid w:val="00D34039"/>
    <w:rsid w:val="00D756B2"/>
    <w:rsid w:val="00DD22DD"/>
    <w:rsid w:val="00DD3307"/>
    <w:rsid w:val="00DF659D"/>
    <w:rsid w:val="00E10668"/>
    <w:rsid w:val="00EE0B83"/>
    <w:rsid w:val="00F754EA"/>
    <w:rsid w:val="00F92E0E"/>
    <w:rsid w:val="00FB748A"/>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094367"/>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a8">
    <w:name w:val="List Paragraph"/>
    <w:basedOn w:val="a"/>
    <w:uiPriority w:val="34"/>
    <w:qFormat/>
    <w:rsid w:val="00A17197"/>
    <w:pPr>
      <w:ind w:left="720"/>
      <w:contextualSpacing/>
    </w:pPr>
    <w:rPr>
      <w:lang w:eastAsia="en-US"/>
    </w:rPr>
  </w:style>
  <w:style w:type="table" w:styleId="a9">
    <w:name w:val="Table Grid"/>
    <w:basedOn w:val="a1"/>
    <w:rsid w:val="00724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DD22DD"/>
    <w:rPr>
      <w:b/>
      <w:bCs/>
    </w:rPr>
  </w:style>
  <w:style w:type="character" w:styleId="ab">
    <w:name w:val="Emphasis"/>
    <w:uiPriority w:val="20"/>
    <w:qFormat/>
    <w:rsid w:val="00DD22DD"/>
    <w:rPr>
      <w:i/>
      <w:iCs/>
    </w:rPr>
  </w:style>
  <w:style w:type="paragraph" w:styleId="NormalWeb">
    <w:name w:val="Normal (Web)"/>
    <w:basedOn w:val="a"/>
    <w:uiPriority w:val="99"/>
    <w:rsid w:val="00DD22DD"/>
    <w:pPr>
      <w:bidi w:val="0"/>
      <w:spacing w:before="100" w:beforeAutospacing="1" w:after="100" w:afterAutospacing="1"/>
    </w:pPr>
  </w:style>
  <w:style w:type="character" w:customStyle="1" w:styleId="apple-style-span">
    <w:name w:val="apple-style-span"/>
    <w:basedOn w:val="a0"/>
    <w:rsid w:val="00DD22DD"/>
  </w:style>
  <w:style w:type="character" w:customStyle="1" w:styleId="apple-converted-space">
    <w:name w:val="apple-converted-space"/>
    <w:basedOn w:val="a0"/>
    <w:rsid w:val="00DD22DD"/>
  </w:style>
  <w:style w:type="paragraph" w:styleId="ac">
    <w:name w:val="No Spacing"/>
    <w:link w:val="ad"/>
    <w:uiPriority w:val="1"/>
    <w:qFormat/>
    <w:rsid w:val="00DD22DD"/>
    <w:pPr>
      <w:bidi/>
    </w:pPr>
    <w:rPr>
      <w:szCs w:val="22"/>
    </w:rPr>
  </w:style>
  <w:style w:type="character" w:customStyle="1" w:styleId="ad">
    <w:name w:val="ללא מרווח תו"/>
    <w:link w:val="ac"/>
    <w:uiPriority w:val="1"/>
    <w:rsid w:val="00DD22D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10699">
      <w:bodyDiv w:val="1"/>
      <w:marLeft w:val="0"/>
      <w:marRight w:val="0"/>
      <w:marTop w:val="0"/>
      <w:marBottom w:val="0"/>
      <w:divBdr>
        <w:top w:val="none" w:sz="0" w:space="0" w:color="auto"/>
        <w:left w:val="none" w:sz="0" w:space="0" w:color="auto"/>
        <w:bottom w:val="none" w:sz="0" w:space="0" w:color="auto"/>
        <w:right w:val="none" w:sz="0" w:space="0" w:color="auto"/>
      </w:divBdr>
    </w:div>
    <w:div w:id="849760932">
      <w:bodyDiv w:val="1"/>
      <w:marLeft w:val="0"/>
      <w:marRight w:val="0"/>
      <w:marTop w:val="0"/>
      <w:marBottom w:val="0"/>
      <w:divBdr>
        <w:top w:val="none" w:sz="0" w:space="0" w:color="auto"/>
        <w:left w:val="none" w:sz="0" w:space="0" w:color="auto"/>
        <w:bottom w:val="none" w:sz="0" w:space="0" w:color="auto"/>
        <w:right w:val="none" w:sz="0" w:space="0" w:color="auto"/>
      </w:divBdr>
    </w:div>
    <w:div w:id="1006520369">
      <w:bodyDiv w:val="1"/>
      <w:marLeft w:val="0"/>
      <w:marRight w:val="0"/>
      <w:marTop w:val="0"/>
      <w:marBottom w:val="0"/>
      <w:divBdr>
        <w:top w:val="none" w:sz="0" w:space="0" w:color="auto"/>
        <w:left w:val="none" w:sz="0" w:space="0" w:color="auto"/>
        <w:bottom w:val="none" w:sz="0" w:space="0" w:color="auto"/>
        <w:right w:val="none" w:sz="0" w:space="0" w:color="auto"/>
      </w:divBdr>
    </w:div>
    <w:div w:id="1393699270">
      <w:bodyDiv w:val="1"/>
      <w:marLeft w:val="0"/>
      <w:marRight w:val="0"/>
      <w:marTop w:val="0"/>
      <w:marBottom w:val="0"/>
      <w:divBdr>
        <w:top w:val="none" w:sz="0" w:space="0" w:color="auto"/>
        <w:left w:val="none" w:sz="0" w:space="0" w:color="auto"/>
        <w:bottom w:val="none" w:sz="0" w:space="0" w:color="auto"/>
        <w:right w:val="none" w:sz="0" w:space="0" w:color="auto"/>
      </w:divBdr>
    </w:div>
    <w:div w:id="1477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4064</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ettya</dc:creator>
  <cp:lastModifiedBy>Einat Peled</cp:lastModifiedBy>
  <cp:revision>2</cp:revision>
  <cp:lastPrinted>2019-07-14T10:29:00Z</cp:lastPrinted>
  <dcterms:created xsi:type="dcterms:W3CDTF">2022-09-05T11:11:00Z</dcterms:created>
  <dcterms:modified xsi:type="dcterms:W3CDTF">2022-09-05T11:11:00Z</dcterms:modified>
</cp:coreProperties>
</file>