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A6" w:rsidRPr="006B0F38" w:rsidRDefault="00D350A6" w:rsidP="00D350A6">
      <w:pPr>
        <w:jc w:val="center"/>
        <w:rPr>
          <w:rFonts w:cs="David"/>
          <w:b/>
          <w:bCs/>
          <w:sz w:val="32"/>
          <w:szCs w:val="32"/>
          <w:rtl/>
        </w:rPr>
      </w:pPr>
      <w:r w:rsidRPr="006B0F38">
        <w:rPr>
          <w:rFonts w:cs="David" w:hint="cs"/>
          <w:b/>
          <w:bCs/>
          <w:sz w:val="32"/>
          <w:szCs w:val="32"/>
          <w:rtl/>
        </w:rPr>
        <w:t>סיפורים גותיים: זהות ופנטזיה בגרמניה של ימי-הביניים</w:t>
      </w:r>
    </w:p>
    <w:p w:rsidR="00D350A6" w:rsidRPr="00B6685A" w:rsidRDefault="00D350A6" w:rsidP="00857DCC">
      <w:pPr>
        <w:bidi w:val="0"/>
        <w:spacing w:before="120" w:line="480" w:lineRule="auto"/>
        <w:jc w:val="center"/>
        <w:rPr>
          <w:rFonts w:cs="David"/>
          <w:b/>
          <w:bCs/>
        </w:rPr>
      </w:pPr>
      <w:r>
        <w:rPr>
          <w:rFonts w:cs="David"/>
          <w:b/>
          <w:bCs/>
        </w:rPr>
        <w:t>Gothic Tale</w:t>
      </w:r>
      <w:r w:rsidRPr="00B6685A">
        <w:rPr>
          <w:rFonts w:cs="David"/>
          <w:b/>
          <w:bCs/>
        </w:rPr>
        <w:t>: Identity</w:t>
      </w:r>
      <w:r>
        <w:rPr>
          <w:rFonts w:cs="David" w:hint="cs"/>
          <w:b/>
          <w:bCs/>
          <w:rtl/>
        </w:rPr>
        <w:t xml:space="preserve"> </w:t>
      </w:r>
      <w:r>
        <w:rPr>
          <w:rFonts w:cs="David"/>
          <w:b/>
          <w:bCs/>
        </w:rPr>
        <w:t>and Fantasy</w:t>
      </w:r>
      <w:r w:rsidRPr="00B6685A">
        <w:rPr>
          <w:rFonts w:cs="David"/>
          <w:b/>
          <w:bCs/>
        </w:rPr>
        <w:t xml:space="preserve"> in Medieval Germany</w:t>
      </w:r>
      <w:r w:rsidR="008045B6">
        <w:rPr>
          <w:rFonts w:cs="David"/>
          <w:b/>
          <w:bCs/>
          <w:rtl/>
        </w:rPr>
        <w:br/>
      </w:r>
      <w:r w:rsidR="008045B6">
        <w:rPr>
          <w:rFonts w:cs="David" w:hint="cs"/>
          <w:b/>
          <w:bCs/>
          <w:rtl/>
        </w:rPr>
        <w:t xml:space="preserve">1880-0814 </w:t>
      </w:r>
      <w:r w:rsidR="008045B6" w:rsidRPr="008045B6">
        <w:rPr>
          <w:rFonts w:cs="David"/>
          <w:b/>
          <w:bCs/>
          <w:rtl/>
        </w:rPr>
        <w:t>(תש</w:t>
      </w:r>
      <w:r w:rsidR="00DC381B">
        <w:rPr>
          <w:rFonts w:cs="David" w:hint="cs"/>
          <w:b/>
          <w:bCs/>
          <w:rtl/>
        </w:rPr>
        <w:t>פ"</w:t>
      </w:r>
      <w:r w:rsidR="00857DCC">
        <w:rPr>
          <w:rFonts w:cs="David" w:hint="cs"/>
          <w:b/>
          <w:bCs/>
          <w:rtl/>
        </w:rPr>
        <w:t>ג</w:t>
      </w:r>
      <w:bookmarkStart w:id="0" w:name="_GoBack"/>
      <w:bookmarkEnd w:id="0"/>
      <w:r w:rsidR="008045B6" w:rsidRPr="008045B6">
        <w:rPr>
          <w:rFonts w:cs="David"/>
          <w:b/>
          <w:bCs/>
          <w:rtl/>
        </w:rPr>
        <w:t>)</w:t>
      </w:r>
      <w:r w:rsidR="008045B6">
        <w:rPr>
          <w:rFonts w:ascii="Arial" w:hAnsi="Arial" w:cs="Arial"/>
          <w:b/>
          <w:bCs/>
          <w:color w:val="333333"/>
          <w:sz w:val="32"/>
          <w:szCs w:val="32"/>
          <w:rtl/>
          <w:lang w:eastAsia="en-US"/>
        </w:rPr>
        <w:t xml:space="preserve">  </w:t>
      </w:r>
    </w:p>
    <w:p w:rsidR="00D350A6" w:rsidRPr="00B6685A" w:rsidRDefault="00D350A6" w:rsidP="00500DF5">
      <w:pPr>
        <w:widowControl w:val="0"/>
        <w:autoSpaceDE w:val="0"/>
        <w:autoSpaceDN w:val="0"/>
        <w:adjustRightInd w:val="0"/>
        <w:spacing w:line="320" w:lineRule="exact"/>
        <w:rPr>
          <w:rFonts w:cs="David"/>
          <w:rtl/>
        </w:rPr>
      </w:pPr>
      <w:r w:rsidRPr="00B6685A">
        <w:rPr>
          <w:rFonts w:cs="David" w:hint="cs"/>
          <w:b/>
          <w:bCs/>
          <w:color w:val="0033CC"/>
          <w:rtl/>
        </w:rPr>
        <w:t>מסגרת הקורס</w:t>
      </w:r>
      <w:r w:rsidRPr="00B6685A">
        <w:rPr>
          <w:rFonts w:cs="David" w:hint="cs"/>
          <w:b/>
          <w:bCs/>
          <w:rtl/>
        </w:rPr>
        <w:t>:</w:t>
      </w:r>
      <w:r w:rsidRPr="00B6685A">
        <w:rPr>
          <w:rFonts w:cs="David"/>
          <w:rtl/>
        </w:rPr>
        <w:t xml:space="preserve"> </w:t>
      </w:r>
      <w:r w:rsidRPr="00B6685A">
        <w:rPr>
          <w:rFonts w:cs="David" w:hint="cs"/>
          <w:rtl/>
        </w:rPr>
        <w:t xml:space="preserve">שיעור </w:t>
      </w:r>
      <w:r w:rsidR="00500DF5">
        <w:rPr>
          <w:rFonts w:cs="David" w:hint="cs"/>
          <w:rtl/>
        </w:rPr>
        <w:t>"כלים שלובים"</w:t>
      </w:r>
      <w:r w:rsidRPr="00B6685A">
        <w:rPr>
          <w:rFonts w:cs="David" w:hint="cs"/>
          <w:rtl/>
        </w:rPr>
        <w:t xml:space="preserve"> </w:t>
      </w:r>
      <w:r w:rsidRPr="00B6685A">
        <w:rPr>
          <w:rFonts w:cs="David" w:hint="cs"/>
        </w:rPr>
        <w:t>BA</w:t>
      </w:r>
    </w:p>
    <w:p w:rsidR="00D350A6" w:rsidRPr="00B6685A" w:rsidRDefault="00D350A6" w:rsidP="00D350A6">
      <w:pPr>
        <w:contextualSpacing/>
        <w:rPr>
          <w:rFonts w:cs="David"/>
          <w:rtl/>
        </w:rPr>
      </w:pPr>
      <w:r w:rsidRPr="00B6685A">
        <w:rPr>
          <w:rFonts w:cs="David" w:hint="cs"/>
          <w:b/>
          <w:bCs/>
          <w:color w:val="0033CC"/>
          <w:rtl/>
        </w:rPr>
        <w:t>שם המרצה</w:t>
      </w:r>
      <w:r w:rsidRPr="00B6685A">
        <w:rPr>
          <w:rFonts w:cs="David" w:hint="cs"/>
          <w:rtl/>
        </w:rPr>
        <w:t xml:space="preserve">: אסף </w:t>
      </w:r>
      <w:proofErr w:type="spellStart"/>
      <w:r w:rsidRPr="00B6685A">
        <w:rPr>
          <w:rFonts w:cs="David" w:hint="cs"/>
          <w:rtl/>
        </w:rPr>
        <w:t>פינקוס</w:t>
      </w:r>
      <w:proofErr w:type="spellEnd"/>
      <w:r w:rsidRPr="00B6685A">
        <w:rPr>
          <w:rFonts w:cs="David" w:hint="cs"/>
          <w:rtl/>
        </w:rPr>
        <w:t xml:space="preserve"> </w:t>
      </w:r>
      <w:r w:rsidRPr="00B6685A">
        <w:rPr>
          <w:rFonts w:cs="David" w:hint="cs"/>
          <w:rtl/>
        </w:rPr>
        <w:tab/>
      </w:r>
      <w:r w:rsidRPr="00B6685A">
        <w:rPr>
          <w:rFonts w:cs="David" w:hint="cs"/>
          <w:rtl/>
        </w:rPr>
        <w:tab/>
      </w:r>
    </w:p>
    <w:p w:rsidR="00D350A6" w:rsidRPr="00B6685A" w:rsidRDefault="00D350A6" w:rsidP="00D350A6">
      <w:pPr>
        <w:contextualSpacing/>
        <w:rPr>
          <w:rFonts w:cs="David"/>
          <w:rtl/>
        </w:rPr>
      </w:pPr>
      <w:r w:rsidRPr="00B6685A">
        <w:rPr>
          <w:rFonts w:cs="David" w:hint="cs"/>
          <w:rtl/>
        </w:rPr>
        <w:t>טלפון: 077-2005128</w:t>
      </w:r>
      <w:r w:rsidRPr="00B6685A">
        <w:rPr>
          <w:rFonts w:cs="David" w:hint="cs"/>
          <w:rtl/>
        </w:rPr>
        <w:tab/>
        <w:t xml:space="preserve">דואר אלקטרוני: </w:t>
      </w:r>
      <w:hyperlink r:id="rId7" w:history="1">
        <w:r w:rsidRPr="00B6685A">
          <w:rPr>
            <w:rStyle w:val="Hyperlink"/>
            <w:rFonts w:cs="David"/>
          </w:rPr>
          <w:t>pinkusas@post.tau.ac.il</w:t>
        </w:r>
      </w:hyperlink>
    </w:p>
    <w:p w:rsidR="00D350A6" w:rsidRPr="00B6685A" w:rsidRDefault="00D350A6" w:rsidP="00D350A6">
      <w:pPr>
        <w:contextualSpacing/>
        <w:rPr>
          <w:rFonts w:cs="David"/>
          <w:rtl/>
        </w:rPr>
      </w:pPr>
      <w:r w:rsidRPr="00B6685A">
        <w:rPr>
          <w:rFonts w:cs="David" w:hint="cs"/>
          <w:b/>
          <w:bCs/>
          <w:color w:val="0033CC"/>
          <w:rtl/>
        </w:rPr>
        <w:t>שעות קבלה</w:t>
      </w:r>
      <w:r w:rsidRPr="00B6685A">
        <w:rPr>
          <w:rFonts w:cs="David" w:hint="cs"/>
          <w:rtl/>
        </w:rPr>
        <w:t>: לפי תיאום מראש</w:t>
      </w:r>
    </w:p>
    <w:p w:rsidR="00D350A6" w:rsidRPr="00B6685A" w:rsidRDefault="00D350A6" w:rsidP="00D350A6">
      <w:pPr>
        <w:contextualSpacing/>
        <w:rPr>
          <w:rFonts w:cs="David"/>
          <w:rtl/>
        </w:rPr>
      </w:pPr>
    </w:p>
    <w:p w:rsidR="00D350A6" w:rsidRDefault="00D350A6" w:rsidP="00D350A6">
      <w:pPr>
        <w:contextualSpacing/>
        <w:rPr>
          <w:rFonts w:cs="David"/>
          <w:b/>
          <w:bCs/>
          <w:color w:val="0033CC"/>
        </w:rPr>
      </w:pPr>
      <w:r w:rsidRPr="00B6685A">
        <w:rPr>
          <w:rFonts w:cs="David" w:hint="cs"/>
          <w:b/>
          <w:bCs/>
          <w:color w:val="0033CC"/>
          <w:rtl/>
        </w:rPr>
        <w:t>ת</w:t>
      </w:r>
      <w:r>
        <w:rPr>
          <w:rFonts w:cs="David" w:hint="cs"/>
          <w:b/>
          <w:bCs/>
          <w:color w:val="0033CC"/>
          <w:rtl/>
        </w:rPr>
        <w:t>י</w:t>
      </w:r>
      <w:r w:rsidRPr="00B6685A">
        <w:rPr>
          <w:rFonts w:cs="David" w:hint="cs"/>
          <w:b/>
          <w:bCs/>
          <w:color w:val="0033CC"/>
          <w:rtl/>
        </w:rPr>
        <w:t>אור הקורס</w:t>
      </w:r>
    </w:p>
    <w:p w:rsidR="00D350A6" w:rsidRDefault="00D350A6" w:rsidP="00D350A6">
      <w:pPr>
        <w:rPr>
          <w:rFonts w:ascii="David" w:hAnsi="David" w:cs="David"/>
        </w:rPr>
      </w:pPr>
    </w:p>
    <w:p w:rsidR="00D350A6" w:rsidRPr="004A4F08" w:rsidRDefault="00D350A6" w:rsidP="00C26E57">
      <w:pPr>
        <w:spacing w:line="360" w:lineRule="auto"/>
        <w:rPr>
          <w:rFonts w:ascii="David" w:hAnsi="David" w:cs="David"/>
          <w:rtl/>
        </w:rPr>
      </w:pPr>
      <w:r w:rsidRPr="004A4F08">
        <w:rPr>
          <w:rFonts w:ascii="David" w:hAnsi="David" w:cs="David" w:hint="cs"/>
          <w:rtl/>
        </w:rPr>
        <w:t>רגשיות</w:t>
      </w:r>
      <w:r w:rsidRPr="004A4F08">
        <w:rPr>
          <w:rFonts w:ascii="David" w:hAnsi="David" w:cs="David"/>
          <w:rtl/>
        </w:rPr>
        <w:t xml:space="preserve"> </w:t>
      </w:r>
      <w:r w:rsidRPr="004A4F08">
        <w:rPr>
          <w:rFonts w:ascii="David" w:hAnsi="David" w:cs="David" w:hint="cs"/>
          <w:rtl/>
        </w:rPr>
        <w:t>חסרת</w:t>
      </w:r>
      <w:r w:rsidRPr="004A4F08">
        <w:rPr>
          <w:rFonts w:ascii="David" w:hAnsi="David" w:cs="David"/>
          <w:rtl/>
        </w:rPr>
        <w:t xml:space="preserve"> </w:t>
      </w:r>
      <w:r w:rsidRPr="004A4F08">
        <w:rPr>
          <w:rFonts w:ascii="David" w:hAnsi="David" w:cs="David" w:hint="cs"/>
          <w:rtl/>
        </w:rPr>
        <w:t>מעצורים</w:t>
      </w:r>
      <w:r w:rsidRPr="004A4F08">
        <w:rPr>
          <w:rFonts w:ascii="David" w:hAnsi="David" w:cs="David"/>
          <w:rtl/>
        </w:rPr>
        <w:t xml:space="preserve">, </w:t>
      </w:r>
      <w:r w:rsidRPr="004A4F08">
        <w:rPr>
          <w:rFonts w:ascii="David" w:hAnsi="David" w:cs="David" w:hint="cs"/>
          <w:rtl/>
        </w:rPr>
        <w:t>אקספרסיביות</w:t>
      </w:r>
      <w:r>
        <w:rPr>
          <w:rFonts w:ascii="David" w:hAnsi="David" w:cs="David" w:hint="cs"/>
          <w:rtl/>
        </w:rPr>
        <w:t>,</w:t>
      </w:r>
      <w:r w:rsidRPr="004A4F08">
        <w:rPr>
          <w:rFonts w:ascii="David" w:hAnsi="David" w:cs="David"/>
          <w:rtl/>
        </w:rPr>
        <w:t xml:space="preserve"> </w:t>
      </w:r>
      <w:r w:rsidRPr="004A4F08">
        <w:rPr>
          <w:rFonts w:ascii="David" w:hAnsi="David" w:cs="David" w:hint="cs"/>
          <w:rtl/>
        </w:rPr>
        <w:t>אותנטית</w:t>
      </w:r>
      <w:r w:rsidRPr="004A4F08">
        <w:rPr>
          <w:rFonts w:ascii="David" w:hAnsi="David" w:cs="David"/>
          <w:rtl/>
        </w:rPr>
        <w:t xml:space="preserve">, </w:t>
      </w:r>
      <w:r w:rsidRPr="004A4F08">
        <w:rPr>
          <w:rFonts w:ascii="David" w:hAnsi="David" w:cs="David" w:hint="cs"/>
          <w:rtl/>
        </w:rPr>
        <w:t>ברוטאליות</w:t>
      </w:r>
      <w:r w:rsidRPr="004A4F08">
        <w:rPr>
          <w:rFonts w:ascii="David" w:hAnsi="David" w:cs="David"/>
          <w:rtl/>
        </w:rPr>
        <w:t xml:space="preserve"> </w:t>
      </w:r>
      <w:r w:rsidRPr="004A4F08">
        <w:rPr>
          <w:rFonts w:ascii="David" w:hAnsi="David" w:cs="David" w:hint="cs"/>
          <w:rtl/>
        </w:rPr>
        <w:t>וריאליזם</w:t>
      </w:r>
      <w:r w:rsidRPr="004A4F08">
        <w:rPr>
          <w:rFonts w:ascii="David" w:hAnsi="David" w:cs="David"/>
          <w:rtl/>
        </w:rPr>
        <w:t xml:space="preserve"> </w:t>
      </w:r>
      <w:r w:rsidRPr="004A4F08">
        <w:rPr>
          <w:rFonts w:ascii="David" w:hAnsi="David" w:cs="David" w:hint="cs"/>
          <w:rtl/>
        </w:rPr>
        <w:t>בלתי</w:t>
      </w:r>
      <w:r w:rsidRPr="004A4F08">
        <w:rPr>
          <w:rFonts w:ascii="David" w:hAnsi="David" w:cs="David"/>
          <w:rtl/>
        </w:rPr>
        <w:t xml:space="preserve"> </w:t>
      </w:r>
      <w:r w:rsidRPr="004A4F08">
        <w:rPr>
          <w:rFonts w:ascii="David" w:hAnsi="David" w:cs="David" w:hint="cs"/>
          <w:rtl/>
        </w:rPr>
        <w:t>מתפשר</w:t>
      </w:r>
      <w:r w:rsidRPr="004A4F08">
        <w:rPr>
          <w:rFonts w:ascii="David" w:hAnsi="David" w:cs="David"/>
          <w:rtl/>
        </w:rPr>
        <w:t xml:space="preserve">, </w:t>
      </w:r>
      <w:r w:rsidRPr="004A4F08">
        <w:rPr>
          <w:rFonts w:ascii="David" w:hAnsi="David" w:cs="David" w:hint="cs"/>
          <w:rtl/>
        </w:rPr>
        <w:t>הן</w:t>
      </w:r>
      <w:r w:rsidRPr="004A4F08">
        <w:rPr>
          <w:rFonts w:ascii="David" w:hAnsi="David" w:cs="David"/>
          <w:rtl/>
        </w:rPr>
        <w:t xml:space="preserve"> </w:t>
      </w:r>
      <w:r w:rsidRPr="004A4F08">
        <w:rPr>
          <w:rFonts w:ascii="David" w:hAnsi="David" w:cs="David" w:hint="cs"/>
          <w:rtl/>
        </w:rPr>
        <w:t>מהקלישאות</w:t>
      </w:r>
      <w:r w:rsidRPr="004A4F08">
        <w:rPr>
          <w:rFonts w:ascii="David" w:hAnsi="David" w:cs="David"/>
          <w:rtl/>
        </w:rPr>
        <w:t xml:space="preserve"> </w:t>
      </w:r>
      <w:r w:rsidRPr="004A4F08">
        <w:rPr>
          <w:rFonts w:ascii="David" w:hAnsi="David" w:cs="David" w:hint="cs"/>
          <w:rtl/>
        </w:rPr>
        <w:t>הנפוצות</w:t>
      </w:r>
      <w:r w:rsidRPr="004A4F08">
        <w:rPr>
          <w:rFonts w:ascii="David" w:hAnsi="David" w:cs="David"/>
          <w:rtl/>
        </w:rPr>
        <w:t xml:space="preserve"> </w:t>
      </w:r>
      <w:r w:rsidRPr="004A4F08">
        <w:rPr>
          <w:rFonts w:ascii="David" w:hAnsi="David" w:cs="David" w:hint="cs"/>
          <w:rtl/>
        </w:rPr>
        <w:t>לתיאור</w:t>
      </w:r>
      <w:r w:rsidRPr="004A4F08">
        <w:rPr>
          <w:rFonts w:ascii="David" w:hAnsi="David" w:cs="David"/>
          <w:rtl/>
        </w:rPr>
        <w:t xml:space="preserve"> </w:t>
      </w:r>
      <w:r w:rsidRPr="004A4F08">
        <w:rPr>
          <w:rFonts w:ascii="David" w:hAnsi="David" w:cs="David" w:hint="cs"/>
          <w:rtl/>
        </w:rPr>
        <w:t>האמנות</w:t>
      </w:r>
      <w:r w:rsidRPr="004A4F08">
        <w:rPr>
          <w:rFonts w:ascii="David" w:hAnsi="David" w:cs="David"/>
          <w:rtl/>
        </w:rPr>
        <w:t xml:space="preserve"> </w:t>
      </w:r>
      <w:r w:rsidRPr="004A4F08">
        <w:rPr>
          <w:rFonts w:ascii="David" w:hAnsi="David" w:cs="David" w:hint="cs"/>
          <w:rtl/>
        </w:rPr>
        <w:t>הגותית</w:t>
      </w:r>
      <w:r w:rsidRPr="004A4F08">
        <w:rPr>
          <w:rFonts w:ascii="David" w:hAnsi="David" w:cs="David"/>
          <w:rtl/>
        </w:rPr>
        <w:t xml:space="preserve"> </w:t>
      </w:r>
      <w:r w:rsidRPr="004A4F08">
        <w:rPr>
          <w:rFonts w:ascii="David" w:hAnsi="David" w:cs="David" w:hint="cs"/>
          <w:rtl/>
        </w:rPr>
        <w:t>במרחב</w:t>
      </w:r>
      <w:r w:rsidRPr="004A4F08">
        <w:rPr>
          <w:rFonts w:ascii="David" w:hAnsi="David" w:cs="David"/>
          <w:rtl/>
        </w:rPr>
        <w:t xml:space="preserve"> </w:t>
      </w:r>
      <w:r w:rsidRPr="004A4F08">
        <w:rPr>
          <w:rFonts w:ascii="David" w:hAnsi="David" w:cs="David" w:hint="cs"/>
          <w:rtl/>
        </w:rPr>
        <w:t>דובר</w:t>
      </w:r>
      <w:r w:rsidRPr="004A4F08">
        <w:rPr>
          <w:rFonts w:ascii="David" w:hAnsi="David" w:cs="David"/>
          <w:rtl/>
        </w:rPr>
        <w:t xml:space="preserve"> </w:t>
      </w:r>
      <w:r w:rsidRPr="004A4F08">
        <w:rPr>
          <w:rFonts w:ascii="David" w:hAnsi="David" w:cs="David" w:hint="cs"/>
          <w:rtl/>
        </w:rPr>
        <w:t>הגרמנית</w:t>
      </w:r>
      <w:r w:rsidRPr="004A4F08">
        <w:rPr>
          <w:rFonts w:ascii="David" w:hAnsi="David" w:cs="David"/>
          <w:rtl/>
        </w:rPr>
        <w:t xml:space="preserve"> </w:t>
      </w:r>
      <w:r w:rsidRPr="004A4F08">
        <w:rPr>
          <w:rFonts w:ascii="David" w:hAnsi="David" w:cs="David" w:hint="cs"/>
          <w:rtl/>
        </w:rPr>
        <w:t>במאות</w:t>
      </w:r>
      <w:r w:rsidRPr="004A4F08">
        <w:rPr>
          <w:rFonts w:ascii="David" w:hAnsi="David" w:cs="David"/>
          <w:rtl/>
        </w:rPr>
        <w:t xml:space="preserve"> </w:t>
      </w:r>
      <w:r w:rsidRPr="004A4F08">
        <w:rPr>
          <w:rFonts w:ascii="David" w:hAnsi="David" w:cs="David" w:hint="cs"/>
          <w:rtl/>
        </w:rPr>
        <w:t>ה</w:t>
      </w:r>
      <w:r w:rsidRPr="004A4F08">
        <w:rPr>
          <w:rFonts w:ascii="David" w:hAnsi="David" w:cs="David"/>
          <w:rtl/>
        </w:rPr>
        <w:t xml:space="preserve">-15-13. </w:t>
      </w:r>
      <w:r w:rsidRPr="004A4F08">
        <w:rPr>
          <w:rFonts w:ascii="David" w:hAnsi="David" w:cs="David" w:hint="cs"/>
          <w:rtl/>
        </w:rPr>
        <w:t>אולם</w:t>
      </w:r>
      <w:r w:rsidRPr="004A4F08">
        <w:rPr>
          <w:rFonts w:ascii="David" w:hAnsi="David" w:cs="David"/>
          <w:rtl/>
        </w:rPr>
        <w:t xml:space="preserve"> </w:t>
      </w:r>
      <w:r w:rsidRPr="004A4F08">
        <w:rPr>
          <w:rFonts w:ascii="David" w:hAnsi="David" w:cs="David" w:hint="cs"/>
          <w:rtl/>
        </w:rPr>
        <w:t>האם</w:t>
      </w:r>
      <w:r w:rsidRPr="004A4F08">
        <w:rPr>
          <w:rFonts w:ascii="David" w:hAnsi="David" w:cs="David"/>
          <w:rtl/>
        </w:rPr>
        <w:t xml:space="preserve"> </w:t>
      </w:r>
      <w:r w:rsidRPr="004A4F08">
        <w:rPr>
          <w:rFonts w:ascii="David" w:hAnsi="David" w:cs="David" w:hint="cs"/>
          <w:rtl/>
        </w:rPr>
        <w:t>מושגים</w:t>
      </w:r>
      <w:r w:rsidRPr="004A4F08">
        <w:rPr>
          <w:rFonts w:ascii="David" w:hAnsi="David" w:cs="David"/>
          <w:rtl/>
        </w:rPr>
        <w:t xml:space="preserve"> </w:t>
      </w:r>
      <w:r w:rsidRPr="004A4F08">
        <w:rPr>
          <w:rFonts w:ascii="David" w:hAnsi="David" w:cs="David" w:hint="cs"/>
          <w:rtl/>
        </w:rPr>
        <w:t>אלו</w:t>
      </w:r>
      <w:r w:rsidRPr="004A4F08">
        <w:rPr>
          <w:rFonts w:ascii="David" w:hAnsi="David" w:cs="David"/>
          <w:rtl/>
        </w:rPr>
        <w:t xml:space="preserve"> </w:t>
      </w:r>
      <w:r w:rsidRPr="004A4F08">
        <w:rPr>
          <w:rFonts w:ascii="David" w:hAnsi="David" w:cs="David" w:hint="cs"/>
          <w:rtl/>
        </w:rPr>
        <w:t>משקפים</w:t>
      </w:r>
      <w:r w:rsidRPr="004A4F08">
        <w:rPr>
          <w:rFonts w:ascii="David" w:hAnsi="David" w:cs="David"/>
          <w:rtl/>
        </w:rPr>
        <w:t xml:space="preserve"> </w:t>
      </w:r>
      <w:r w:rsidRPr="004A4F08">
        <w:rPr>
          <w:rFonts w:ascii="David" w:hAnsi="David" w:cs="David" w:hint="cs"/>
          <w:rtl/>
        </w:rPr>
        <w:t>את</w:t>
      </w:r>
      <w:r w:rsidRPr="004A4F08">
        <w:rPr>
          <w:rFonts w:ascii="David" w:hAnsi="David" w:cs="David"/>
          <w:rtl/>
        </w:rPr>
        <w:t xml:space="preserve"> </w:t>
      </w:r>
      <w:r w:rsidRPr="004A4F08">
        <w:rPr>
          <w:rFonts w:ascii="David" w:hAnsi="David" w:cs="David" w:hint="cs"/>
          <w:rtl/>
        </w:rPr>
        <w:t>התרבות</w:t>
      </w:r>
      <w:r w:rsidRPr="004A4F08">
        <w:rPr>
          <w:rFonts w:ascii="David" w:hAnsi="David" w:cs="David"/>
          <w:rtl/>
        </w:rPr>
        <w:t xml:space="preserve"> </w:t>
      </w:r>
      <w:r w:rsidRPr="004A4F08">
        <w:rPr>
          <w:rFonts w:ascii="David" w:hAnsi="David" w:cs="David" w:hint="cs"/>
          <w:rtl/>
        </w:rPr>
        <w:t>בתוכה</w:t>
      </w:r>
      <w:r w:rsidRPr="004A4F08">
        <w:rPr>
          <w:rFonts w:ascii="David" w:hAnsi="David" w:cs="David"/>
          <w:rtl/>
        </w:rPr>
        <w:t xml:space="preserve"> </w:t>
      </w:r>
      <w:r w:rsidRPr="004A4F08">
        <w:rPr>
          <w:rFonts w:ascii="David" w:hAnsi="David" w:cs="David" w:hint="cs"/>
          <w:rtl/>
        </w:rPr>
        <w:t>נוצרה</w:t>
      </w:r>
      <w:r w:rsidRPr="004A4F08">
        <w:rPr>
          <w:rFonts w:ascii="David" w:hAnsi="David" w:cs="David"/>
          <w:rtl/>
        </w:rPr>
        <w:t xml:space="preserve"> </w:t>
      </w:r>
      <w:r w:rsidRPr="004A4F08">
        <w:rPr>
          <w:rFonts w:ascii="David" w:hAnsi="David" w:cs="David" w:hint="cs"/>
          <w:rtl/>
        </w:rPr>
        <w:t>האמנות</w:t>
      </w:r>
      <w:r w:rsidRPr="004A4F08">
        <w:rPr>
          <w:rFonts w:ascii="David" w:hAnsi="David" w:cs="David"/>
          <w:rtl/>
        </w:rPr>
        <w:t xml:space="preserve">? </w:t>
      </w:r>
      <w:r>
        <w:rPr>
          <w:rFonts w:ascii="David" w:hAnsi="David" w:cs="David" w:hint="cs"/>
          <w:rtl/>
        </w:rPr>
        <w:t>בקורס זה</w:t>
      </w:r>
      <w:r w:rsidRPr="004A4F08">
        <w:rPr>
          <w:rFonts w:ascii="David" w:hAnsi="David" w:cs="David"/>
          <w:rtl/>
        </w:rPr>
        <w:t xml:space="preserve"> </w:t>
      </w:r>
      <w:r w:rsidRPr="004A4F08">
        <w:rPr>
          <w:rFonts w:ascii="David" w:hAnsi="David" w:cs="David" w:hint="cs"/>
          <w:rtl/>
        </w:rPr>
        <w:t>נבחן</w:t>
      </w:r>
      <w:r w:rsidRPr="004A4F08">
        <w:rPr>
          <w:rFonts w:ascii="David" w:hAnsi="David" w:cs="David"/>
          <w:rtl/>
        </w:rPr>
        <w:t xml:space="preserve"> </w:t>
      </w:r>
      <w:r w:rsidRPr="004A4F08">
        <w:rPr>
          <w:rFonts w:ascii="David" w:hAnsi="David" w:cs="David" w:hint="cs"/>
          <w:rtl/>
        </w:rPr>
        <w:t>כיצד</w:t>
      </w:r>
      <w:r w:rsidRPr="004A4F08">
        <w:rPr>
          <w:rFonts w:ascii="David" w:hAnsi="David" w:cs="David"/>
          <w:rtl/>
        </w:rPr>
        <w:t xml:space="preserve">  </w:t>
      </w:r>
      <w:r w:rsidRPr="004A4F08">
        <w:rPr>
          <w:rFonts w:ascii="David" w:hAnsi="David" w:cs="David" w:hint="cs"/>
          <w:rtl/>
        </w:rPr>
        <w:t>זהות</w:t>
      </w:r>
      <w:r w:rsidRPr="004A4F08">
        <w:rPr>
          <w:rFonts w:ascii="David" w:hAnsi="David" w:cs="David"/>
          <w:rtl/>
        </w:rPr>
        <w:t xml:space="preserve"> </w:t>
      </w:r>
      <w:r w:rsidRPr="004A4F08">
        <w:rPr>
          <w:rFonts w:ascii="David" w:hAnsi="David" w:cs="David" w:hint="cs"/>
          <w:rtl/>
        </w:rPr>
        <w:t>אישית</w:t>
      </w:r>
      <w:r w:rsidRPr="004A4F08">
        <w:rPr>
          <w:rFonts w:ascii="David" w:hAnsi="David" w:cs="David"/>
          <w:rtl/>
        </w:rPr>
        <w:t xml:space="preserve"> </w:t>
      </w:r>
      <w:r w:rsidRPr="004A4F08">
        <w:rPr>
          <w:rFonts w:ascii="David" w:hAnsi="David" w:cs="David" w:hint="cs"/>
          <w:rtl/>
        </w:rPr>
        <w:t>וחברתית</w:t>
      </w:r>
      <w:r w:rsidRPr="004A4F08">
        <w:rPr>
          <w:rFonts w:ascii="David" w:hAnsi="David" w:cs="David"/>
          <w:rtl/>
        </w:rPr>
        <w:t xml:space="preserve"> </w:t>
      </w:r>
      <w:r w:rsidRPr="004A4F08">
        <w:rPr>
          <w:rFonts w:ascii="David" w:hAnsi="David" w:cs="David" w:hint="cs"/>
          <w:rtl/>
        </w:rPr>
        <w:t>מצאה</w:t>
      </w:r>
      <w:r w:rsidRPr="004A4F08">
        <w:rPr>
          <w:rFonts w:ascii="David" w:hAnsi="David" w:cs="David"/>
          <w:rtl/>
        </w:rPr>
        <w:t xml:space="preserve"> </w:t>
      </w:r>
      <w:r w:rsidRPr="004A4F08">
        <w:rPr>
          <w:rFonts w:ascii="David" w:hAnsi="David" w:cs="David" w:hint="cs"/>
          <w:rtl/>
        </w:rPr>
        <w:t>ביטוי</w:t>
      </w:r>
      <w:r w:rsidRPr="004A4F08">
        <w:rPr>
          <w:rFonts w:ascii="David" w:hAnsi="David" w:cs="David"/>
          <w:rtl/>
        </w:rPr>
        <w:t xml:space="preserve"> </w:t>
      </w:r>
      <w:r w:rsidRPr="004A4F08">
        <w:rPr>
          <w:rFonts w:ascii="David" w:hAnsi="David" w:cs="David" w:hint="cs"/>
          <w:rtl/>
        </w:rPr>
        <w:t>בפיסול</w:t>
      </w:r>
      <w:r w:rsidRPr="004A4F08">
        <w:rPr>
          <w:rFonts w:ascii="David" w:hAnsi="David" w:cs="David"/>
          <w:rtl/>
        </w:rPr>
        <w:t xml:space="preserve"> </w:t>
      </w:r>
      <w:r w:rsidRPr="004A4F08">
        <w:rPr>
          <w:rFonts w:ascii="David" w:hAnsi="David" w:cs="David" w:hint="cs"/>
          <w:rtl/>
        </w:rPr>
        <w:t>ובציור</w:t>
      </w:r>
      <w:r w:rsidRPr="004A4F08">
        <w:rPr>
          <w:rFonts w:ascii="David" w:hAnsi="David" w:cs="David"/>
          <w:rtl/>
        </w:rPr>
        <w:t xml:space="preserve"> </w:t>
      </w:r>
      <w:r w:rsidRPr="004A4F08">
        <w:rPr>
          <w:rFonts w:ascii="David" w:hAnsi="David" w:cs="David" w:hint="cs"/>
          <w:rtl/>
        </w:rPr>
        <w:t>הגותי</w:t>
      </w:r>
      <w:r w:rsidRPr="004A4F08">
        <w:rPr>
          <w:rFonts w:ascii="David" w:hAnsi="David" w:cs="David"/>
          <w:rtl/>
        </w:rPr>
        <w:t xml:space="preserve"> </w:t>
      </w:r>
      <w:r w:rsidRPr="004A4F08">
        <w:rPr>
          <w:rFonts w:ascii="David" w:hAnsi="David" w:cs="David" w:hint="cs"/>
          <w:rtl/>
        </w:rPr>
        <w:t>כפנטזיה</w:t>
      </w:r>
      <w:r w:rsidRPr="004A4F08">
        <w:rPr>
          <w:rFonts w:ascii="David" w:hAnsi="David" w:cs="David"/>
          <w:rtl/>
        </w:rPr>
        <w:t xml:space="preserve"> </w:t>
      </w:r>
      <w:r w:rsidRPr="004A4F08">
        <w:rPr>
          <w:rFonts w:ascii="David" w:hAnsi="David" w:cs="David" w:hint="cs"/>
          <w:rtl/>
        </w:rPr>
        <w:t>של</w:t>
      </w:r>
      <w:r w:rsidRPr="004A4F08">
        <w:rPr>
          <w:rFonts w:ascii="David" w:hAnsi="David" w:cs="David"/>
          <w:rtl/>
        </w:rPr>
        <w:t xml:space="preserve"> </w:t>
      </w:r>
      <w:r w:rsidRPr="004A4F08">
        <w:rPr>
          <w:rFonts w:ascii="David" w:hAnsi="David" w:cs="David" w:hint="cs"/>
          <w:rtl/>
        </w:rPr>
        <w:t>נראות</w:t>
      </w:r>
      <w:r w:rsidRPr="004A4F08">
        <w:rPr>
          <w:rFonts w:ascii="David" w:hAnsi="David" w:cs="David"/>
          <w:rtl/>
        </w:rPr>
        <w:t xml:space="preserve"> </w:t>
      </w:r>
      <w:r w:rsidRPr="004A4F08">
        <w:rPr>
          <w:rFonts w:ascii="David" w:hAnsi="David" w:cs="David" w:hint="cs"/>
          <w:rtl/>
        </w:rPr>
        <w:t>ורגש</w:t>
      </w:r>
      <w:r w:rsidRPr="004A4F08">
        <w:rPr>
          <w:rFonts w:ascii="David" w:hAnsi="David" w:cs="David"/>
          <w:rtl/>
        </w:rPr>
        <w:t xml:space="preserve"> </w:t>
      </w:r>
      <w:r w:rsidRPr="004A4F08">
        <w:rPr>
          <w:rFonts w:ascii="David" w:hAnsi="David" w:cs="David" w:hint="cs"/>
          <w:rtl/>
        </w:rPr>
        <w:t>מתוך</w:t>
      </w:r>
      <w:r w:rsidRPr="004A4F08">
        <w:rPr>
          <w:rFonts w:ascii="David" w:hAnsi="David" w:cs="David"/>
          <w:rtl/>
        </w:rPr>
        <w:t xml:space="preserve"> </w:t>
      </w:r>
      <w:r w:rsidRPr="004A4F08">
        <w:rPr>
          <w:rFonts w:ascii="David" w:hAnsi="David" w:cs="David" w:hint="cs"/>
          <w:rtl/>
        </w:rPr>
        <w:t>שתי</w:t>
      </w:r>
      <w:r w:rsidRPr="004A4F08">
        <w:rPr>
          <w:rFonts w:ascii="David" w:hAnsi="David" w:cs="David"/>
          <w:rtl/>
        </w:rPr>
        <w:t xml:space="preserve"> </w:t>
      </w:r>
      <w:r w:rsidRPr="004A4F08">
        <w:rPr>
          <w:rFonts w:ascii="David" w:hAnsi="David" w:cs="David" w:hint="cs"/>
          <w:rtl/>
        </w:rPr>
        <w:t>נקודות</w:t>
      </w:r>
      <w:r w:rsidRPr="004A4F08">
        <w:rPr>
          <w:rFonts w:ascii="David" w:hAnsi="David" w:cs="David"/>
          <w:rtl/>
        </w:rPr>
        <w:t xml:space="preserve"> </w:t>
      </w:r>
      <w:r w:rsidRPr="004A4F08">
        <w:rPr>
          <w:rFonts w:ascii="David" w:hAnsi="David" w:cs="David" w:hint="cs"/>
          <w:rtl/>
        </w:rPr>
        <w:t>מבט</w:t>
      </w:r>
      <w:r w:rsidRPr="004A4F08">
        <w:rPr>
          <w:rFonts w:ascii="David" w:hAnsi="David" w:cs="David"/>
          <w:rtl/>
        </w:rPr>
        <w:t xml:space="preserve">: </w:t>
      </w:r>
      <w:r w:rsidRPr="004A4F08">
        <w:rPr>
          <w:rFonts w:ascii="David" w:hAnsi="David" w:cs="David" w:hint="cs"/>
          <w:rtl/>
        </w:rPr>
        <w:t>האחת</w:t>
      </w:r>
      <w:r w:rsidRPr="004A4F08">
        <w:rPr>
          <w:rFonts w:ascii="David" w:hAnsi="David" w:cs="David"/>
          <w:rtl/>
        </w:rPr>
        <w:t xml:space="preserve"> – </w:t>
      </w:r>
      <w:r w:rsidRPr="004A4F08">
        <w:rPr>
          <w:rFonts w:ascii="David" w:hAnsi="David" w:cs="David" w:hint="cs"/>
          <w:rtl/>
        </w:rPr>
        <w:t>זו</w:t>
      </w:r>
      <w:r w:rsidRPr="004A4F08">
        <w:rPr>
          <w:rFonts w:ascii="David" w:hAnsi="David" w:cs="David"/>
          <w:rtl/>
        </w:rPr>
        <w:t xml:space="preserve"> </w:t>
      </w:r>
      <w:r w:rsidRPr="004A4F08">
        <w:rPr>
          <w:rFonts w:ascii="David" w:hAnsi="David" w:cs="David" w:hint="cs"/>
          <w:rtl/>
        </w:rPr>
        <w:t>של</w:t>
      </w:r>
      <w:r w:rsidRPr="004A4F08">
        <w:rPr>
          <w:rFonts w:ascii="David" w:hAnsi="David" w:cs="David"/>
          <w:rtl/>
        </w:rPr>
        <w:t xml:space="preserve"> </w:t>
      </w:r>
      <w:r w:rsidRPr="004A4F08">
        <w:rPr>
          <w:rFonts w:ascii="David" w:hAnsi="David" w:cs="David" w:hint="cs"/>
          <w:rtl/>
        </w:rPr>
        <w:t>ימי</w:t>
      </w:r>
      <w:r w:rsidRPr="004A4F08">
        <w:rPr>
          <w:rFonts w:ascii="David" w:hAnsi="David" w:cs="David"/>
          <w:rtl/>
        </w:rPr>
        <w:t>-</w:t>
      </w:r>
      <w:r w:rsidRPr="004A4F08">
        <w:rPr>
          <w:rFonts w:ascii="David" w:hAnsi="David" w:cs="David" w:hint="cs"/>
          <w:rtl/>
        </w:rPr>
        <w:t>הביניים</w:t>
      </w:r>
      <w:r w:rsidRPr="004A4F08">
        <w:rPr>
          <w:rFonts w:ascii="David" w:hAnsi="David" w:cs="David"/>
          <w:rtl/>
        </w:rPr>
        <w:t xml:space="preserve">, </w:t>
      </w:r>
      <w:r w:rsidRPr="004A4F08">
        <w:rPr>
          <w:rFonts w:ascii="David" w:hAnsi="David" w:cs="David" w:hint="cs"/>
          <w:rtl/>
        </w:rPr>
        <w:t>בה</w:t>
      </w:r>
      <w:r w:rsidRPr="004A4F08">
        <w:rPr>
          <w:rFonts w:ascii="David" w:hAnsi="David" w:cs="David"/>
          <w:rtl/>
        </w:rPr>
        <w:t xml:space="preserve"> </w:t>
      </w:r>
      <w:r w:rsidRPr="004A4F08">
        <w:rPr>
          <w:rFonts w:ascii="David" w:hAnsi="David" w:cs="David" w:hint="cs"/>
          <w:rtl/>
        </w:rPr>
        <w:t>הוגדרה</w:t>
      </w:r>
      <w:r w:rsidRPr="004A4F08">
        <w:rPr>
          <w:rFonts w:ascii="David" w:hAnsi="David" w:cs="David"/>
          <w:rtl/>
        </w:rPr>
        <w:t xml:space="preserve"> </w:t>
      </w:r>
      <w:r w:rsidRPr="004A4F08">
        <w:rPr>
          <w:rFonts w:ascii="David" w:hAnsi="David" w:cs="David" w:hint="cs"/>
          <w:rtl/>
        </w:rPr>
        <w:t>הפנטזיה</w:t>
      </w:r>
      <w:r w:rsidRPr="004A4F08">
        <w:rPr>
          <w:rFonts w:ascii="David" w:hAnsi="David" w:cs="David"/>
          <w:rtl/>
        </w:rPr>
        <w:t xml:space="preserve"> </w:t>
      </w:r>
      <w:r w:rsidRPr="004A4F08">
        <w:rPr>
          <w:rFonts w:ascii="David" w:hAnsi="David" w:cs="David" w:hint="cs"/>
          <w:rtl/>
        </w:rPr>
        <w:t>האמנותית</w:t>
      </w:r>
      <w:r w:rsidRPr="004A4F08">
        <w:rPr>
          <w:rFonts w:ascii="David" w:hAnsi="David" w:cs="David"/>
          <w:rtl/>
        </w:rPr>
        <w:t xml:space="preserve"> </w:t>
      </w:r>
      <w:r w:rsidRPr="004A4F08">
        <w:rPr>
          <w:rFonts w:ascii="David" w:hAnsi="David" w:cs="David" w:hint="cs"/>
          <w:rtl/>
        </w:rPr>
        <w:t>כמושתתת</w:t>
      </w:r>
      <w:r w:rsidRPr="004A4F08">
        <w:rPr>
          <w:rFonts w:ascii="David" w:hAnsi="David" w:cs="David"/>
          <w:rtl/>
        </w:rPr>
        <w:t xml:space="preserve"> </w:t>
      </w:r>
      <w:r w:rsidRPr="004A4F08">
        <w:rPr>
          <w:rFonts w:ascii="David" w:hAnsi="David" w:cs="David" w:hint="cs"/>
          <w:rtl/>
        </w:rPr>
        <w:t>על</w:t>
      </w:r>
      <w:r w:rsidRPr="004A4F08">
        <w:rPr>
          <w:rFonts w:ascii="David" w:hAnsi="David" w:cs="David"/>
          <w:rtl/>
        </w:rPr>
        <w:t xml:space="preserve"> </w:t>
      </w:r>
      <w:r w:rsidRPr="004A4F08">
        <w:rPr>
          <w:rFonts w:ascii="David" w:hAnsi="David" w:cs="David" w:hint="cs"/>
          <w:rtl/>
        </w:rPr>
        <w:t>הטעיה</w:t>
      </w:r>
      <w:r w:rsidRPr="004A4F08">
        <w:rPr>
          <w:rFonts w:ascii="David" w:hAnsi="David" w:cs="David"/>
          <w:rtl/>
        </w:rPr>
        <w:t xml:space="preserve"> </w:t>
      </w:r>
      <w:r w:rsidRPr="004A4F08">
        <w:rPr>
          <w:rFonts w:ascii="David" w:hAnsi="David" w:cs="David" w:hint="cs"/>
          <w:rtl/>
        </w:rPr>
        <w:t>שעודדה</w:t>
      </w:r>
      <w:r w:rsidRPr="004A4F08">
        <w:rPr>
          <w:rFonts w:ascii="David" w:hAnsi="David" w:cs="David"/>
          <w:rtl/>
        </w:rPr>
        <w:t xml:space="preserve"> </w:t>
      </w:r>
      <w:r w:rsidRPr="004A4F08">
        <w:rPr>
          <w:rFonts w:ascii="David" w:hAnsi="David" w:cs="David" w:hint="cs"/>
          <w:rtl/>
        </w:rPr>
        <w:t>ספקולציות</w:t>
      </w:r>
      <w:r w:rsidRPr="004A4F08">
        <w:rPr>
          <w:rFonts w:ascii="David" w:hAnsi="David" w:cs="David"/>
          <w:rtl/>
        </w:rPr>
        <w:t xml:space="preserve"> </w:t>
      </w:r>
      <w:r w:rsidRPr="004A4F08">
        <w:rPr>
          <w:rFonts w:ascii="David" w:hAnsi="David" w:cs="David" w:hint="cs"/>
          <w:rtl/>
        </w:rPr>
        <w:t>ללא</w:t>
      </w:r>
      <w:r w:rsidRPr="004A4F08">
        <w:rPr>
          <w:rFonts w:ascii="David" w:hAnsi="David" w:cs="David"/>
          <w:rtl/>
        </w:rPr>
        <w:t xml:space="preserve"> </w:t>
      </w:r>
      <w:r w:rsidRPr="004A4F08">
        <w:rPr>
          <w:rFonts w:ascii="David" w:hAnsi="David" w:cs="David" w:hint="cs"/>
          <w:rtl/>
        </w:rPr>
        <w:t>גבולות</w:t>
      </w:r>
      <w:r w:rsidRPr="004A4F08">
        <w:rPr>
          <w:rFonts w:ascii="David" w:hAnsi="David" w:cs="David"/>
          <w:rtl/>
        </w:rPr>
        <w:t xml:space="preserve">; </w:t>
      </w:r>
      <w:r w:rsidRPr="004A4F08">
        <w:rPr>
          <w:rFonts w:ascii="David" w:hAnsi="David" w:cs="David" w:hint="cs"/>
          <w:rtl/>
        </w:rPr>
        <w:t>והשנייה</w:t>
      </w:r>
      <w:r w:rsidRPr="004A4F08">
        <w:rPr>
          <w:rFonts w:ascii="David" w:hAnsi="David" w:cs="David"/>
          <w:rtl/>
        </w:rPr>
        <w:t xml:space="preserve"> – </w:t>
      </w:r>
      <w:r w:rsidRPr="004A4F08">
        <w:rPr>
          <w:rFonts w:ascii="David" w:hAnsi="David" w:cs="David" w:hint="cs"/>
          <w:rtl/>
        </w:rPr>
        <w:t>זו</w:t>
      </w:r>
      <w:r w:rsidRPr="004A4F08">
        <w:rPr>
          <w:rFonts w:ascii="David" w:hAnsi="David" w:cs="David"/>
          <w:rtl/>
        </w:rPr>
        <w:t xml:space="preserve"> </w:t>
      </w:r>
      <w:r w:rsidRPr="004A4F08">
        <w:rPr>
          <w:rFonts w:ascii="David" w:hAnsi="David" w:cs="David" w:hint="cs"/>
          <w:rtl/>
        </w:rPr>
        <w:t>של</w:t>
      </w:r>
      <w:r w:rsidRPr="004A4F08">
        <w:rPr>
          <w:rFonts w:ascii="David" w:hAnsi="David" w:cs="David"/>
          <w:rtl/>
        </w:rPr>
        <w:t xml:space="preserve"> </w:t>
      </w:r>
      <w:r w:rsidRPr="004A4F08">
        <w:rPr>
          <w:rFonts w:ascii="David" w:hAnsi="David" w:cs="David" w:hint="cs"/>
          <w:rtl/>
        </w:rPr>
        <w:t>הרומנטיקה</w:t>
      </w:r>
      <w:r w:rsidRPr="004A4F08">
        <w:rPr>
          <w:rFonts w:ascii="David" w:hAnsi="David" w:cs="David"/>
          <w:rtl/>
        </w:rPr>
        <w:t xml:space="preserve"> </w:t>
      </w:r>
      <w:r w:rsidRPr="004A4F08">
        <w:rPr>
          <w:rFonts w:ascii="David" w:hAnsi="David" w:cs="David" w:hint="cs"/>
          <w:rtl/>
        </w:rPr>
        <w:t>והלאומיות</w:t>
      </w:r>
      <w:r w:rsidRPr="004A4F08">
        <w:rPr>
          <w:rFonts w:ascii="David" w:hAnsi="David" w:cs="David"/>
          <w:rtl/>
        </w:rPr>
        <w:t xml:space="preserve"> </w:t>
      </w:r>
      <w:r w:rsidRPr="004A4F08">
        <w:rPr>
          <w:rFonts w:ascii="David" w:hAnsi="David" w:cs="David" w:hint="cs"/>
          <w:rtl/>
        </w:rPr>
        <w:t>הגרמנית</w:t>
      </w:r>
      <w:r w:rsidRPr="004A4F08">
        <w:rPr>
          <w:rFonts w:ascii="David" w:hAnsi="David" w:cs="David"/>
          <w:rtl/>
        </w:rPr>
        <w:t xml:space="preserve"> </w:t>
      </w:r>
      <w:r w:rsidRPr="004A4F08">
        <w:rPr>
          <w:rFonts w:ascii="David" w:hAnsi="David" w:cs="David" w:hint="cs"/>
          <w:rtl/>
        </w:rPr>
        <w:t>המודרנית</w:t>
      </w:r>
      <w:r w:rsidRPr="004A4F08">
        <w:rPr>
          <w:rFonts w:ascii="David" w:hAnsi="David" w:cs="David"/>
          <w:rtl/>
        </w:rPr>
        <w:t xml:space="preserve"> </w:t>
      </w:r>
      <w:r w:rsidRPr="004A4F08">
        <w:rPr>
          <w:rFonts w:ascii="David" w:hAnsi="David" w:cs="David" w:hint="cs"/>
          <w:rtl/>
        </w:rPr>
        <w:t>שהפכו</w:t>
      </w:r>
      <w:r w:rsidRPr="004A4F08">
        <w:rPr>
          <w:rFonts w:ascii="David" w:hAnsi="David" w:cs="David"/>
          <w:rtl/>
        </w:rPr>
        <w:t xml:space="preserve"> </w:t>
      </w:r>
      <w:r w:rsidRPr="004A4F08">
        <w:rPr>
          <w:rFonts w:ascii="David" w:hAnsi="David" w:cs="David" w:hint="cs"/>
          <w:rtl/>
        </w:rPr>
        <w:t>את</w:t>
      </w:r>
      <w:r w:rsidRPr="004A4F08">
        <w:rPr>
          <w:rFonts w:ascii="David" w:hAnsi="David" w:cs="David"/>
          <w:rtl/>
        </w:rPr>
        <w:t xml:space="preserve"> </w:t>
      </w:r>
      <w:r w:rsidRPr="004A4F08">
        <w:rPr>
          <w:rFonts w:ascii="David" w:hAnsi="David" w:cs="David" w:hint="cs"/>
          <w:rtl/>
        </w:rPr>
        <w:t>הדמויות</w:t>
      </w:r>
      <w:r w:rsidRPr="004A4F08">
        <w:rPr>
          <w:rFonts w:ascii="David" w:hAnsi="David" w:cs="David"/>
          <w:rtl/>
        </w:rPr>
        <w:t xml:space="preserve"> </w:t>
      </w:r>
      <w:r w:rsidRPr="004A4F08">
        <w:rPr>
          <w:rFonts w:ascii="David" w:hAnsi="David" w:cs="David" w:hint="cs"/>
          <w:rtl/>
        </w:rPr>
        <w:t>המצוירות</w:t>
      </w:r>
      <w:r w:rsidRPr="004A4F08">
        <w:rPr>
          <w:rFonts w:ascii="David" w:hAnsi="David" w:cs="David"/>
          <w:rtl/>
        </w:rPr>
        <w:t xml:space="preserve"> </w:t>
      </w:r>
      <w:r w:rsidRPr="004A4F08">
        <w:rPr>
          <w:rFonts w:ascii="David" w:hAnsi="David" w:cs="David" w:hint="cs"/>
          <w:rtl/>
        </w:rPr>
        <w:t>והמפוסלות</w:t>
      </w:r>
      <w:r w:rsidRPr="004A4F08">
        <w:rPr>
          <w:rFonts w:ascii="David" w:hAnsi="David" w:cs="David"/>
          <w:rtl/>
        </w:rPr>
        <w:t xml:space="preserve"> </w:t>
      </w:r>
      <w:r w:rsidRPr="004A4F08">
        <w:rPr>
          <w:rFonts w:ascii="David" w:hAnsi="David" w:cs="David" w:hint="cs"/>
          <w:rtl/>
        </w:rPr>
        <w:t>לגיבורי</w:t>
      </w:r>
      <w:r w:rsidRPr="004A4F08">
        <w:rPr>
          <w:rFonts w:ascii="David" w:hAnsi="David" w:cs="David"/>
          <w:rtl/>
        </w:rPr>
        <w:t xml:space="preserve"> </w:t>
      </w:r>
      <w:r w:rsidRPr="004A4F08">
        <w:rPr>
          <w:rFonts w:ascii="David" w:hAnsi="David" w:cs="David" w:hint="cs"/>
          <w:rtl/>
        </w:rPr>
        <w:t>תרבות</w:t>
      </w:r>
      <w:r w:rsidRPr="004A4F08">
        <w:rPr>
          <w:rFonts w:ascii="David" w:hAnsi="David" w:cs="David"/>
          <w:rtl/>
        </w:rPr>
        <w:t xml:space="preserve"> </w:t>
      </w:r>
      <w:r w:rsidRPr="004A4F08">
        <w:rPr>
          <w:rFonts w:ascii="David" w:hAnsi="David" w:cs="David" w:hint="cs"/>
          <w:rtl/>
        </w:rPr>
        <w:t>לאומיים</w:t>
      </w:r>
      <w:r w:rsidRPr="004A4F08">
        <w:rPr>
          <w:rFonts w:ascii="David" w:hAnsi="David" w:cs="David"/>
        </w:rPr>
        <w:t>.</w:t>
      </w:r>
    </w:p>
    <w:p w:rsidR="00D350A6" w:rsidRPr="00FD7CC1" w:rsidRDefault="00D350A6" w:rsidP="00D350A6">
      <w:pPr>
        <w:contextualSpacing/>
        <w:rPr>
          <w:rFonts w:cs="David"/>
          <w:b/>
          <w:bCs/>
          <w:color w:val="0033CC"/>
        </w:rPr>
      </w:pPr>
    </w:p>
    <w:p w:rsidR="00D350A6" w:rsidRPr="00B6685A" w:rsidRDefault="00D350A6" w:rsidP="00D350A6">
      <w:pPr>
        <w:contextualSpacing/>
        <w:rPr>
          <w:rFonts w:cs="David"/>
          <w:rtl/>
        </w:rPr>
      </w:pPr>
    </w:p>
    <w:p w:rsidR="00D350A6" w:rsidRPr="00BD7D5C" w:rsidRDefault="00D350A6" w:rsidP="00D350A6">
      <w:pPr>
        <w:bidi w:val="0"/>
        <w:contextualSpacing/>
        <w:rPr>
          <w:rFonts w:cs="David"/>
        </w:rPr>
      </w:pPr>
      <w:r>
        <w:t xml:space="preserve">Charged emotionalism, authentic expressionism, and uncompromising realism are among the common clichés describing German Gothic sculpture. Do these expressions, however, reflect the cultural milieu in which the sculptures were created? This course will examine how individual identity was formulated in Gothic sculpture as a simulacrum of appearance and emotion. It will discuss the images from two perspectives: medieval representation theory, which defined the simulacrum as an empty sign, a sculpted image based on nature but founded on deception; and post-modern theory, </w:t>
      </w:r>
      <w:r w:rsidRPr="00BD7D5C">
        <w:rPr>
          <w:rFonts w:cs="David"/>
        </w:rPr>
        <w:t>in which the simulacrum substitutes the real. From these approache</w:t>
      </w:r>
      <w:r>
        <w:rPr>
          <w:rFonts w:cs="David"/>
        </w:rPr>
        <w:t>s</w:t>
      </w:r>
      <w:r w:rsidRPr="00BD7D5C">
        <w:rPr>
          <w:rFonts w:cs="David"/>
        </w:rPr>
        <w:t>, we will explore the medieval sign theory and the sculpt</w:t>
      </w:r>
      <w:r>
        <w:rPr>
          <w:rFonts w:cs="David"/>
        </w:rPr>
        <w:t>ed</w:t>
      </w:r>
      <w:r w:rsidRPr="00BD7D5C">
        <w:rPr>
          <w:rFonts w:cs="David"/>
        </w:rPr>
        <w:t xml:space="preserve"> identity in German Gothic.  </w:t>
      </w:r>
    </w:p>
    <w:p w:rsidR="00D350A6" w:rsidRPr="00B6685A" w:rsidRDefault="00D350A6" w:rsidP="00D350A6">
      <w:pPr>
        <w:bidi w:val="0"/>
        <w:contextualSpacing/>
        <w:rPr>
          <w:rFonts w:cs="David"/>
        </w:rPr>
      </w:pPr>
      <w:r w:rsidRPr="00B6685A">
        <w:rPr>
          <w:rFonts w:cs="David"/>
        </w:rPr>
        <w:t xml:space="preserve">  </w:t>
      </w:r>
    </w:p>
    <w:p w:rsidR="00D350A6" w:rsidRPr="00B6685A" w:rsidRDefault="00D350A6" w:rsidP="00D350A6">
      <w:pPr>
        <w:widowControl w:val="0"/>
        <w:autoSpaceDE w:val="0"/>
        <w:autoSpaceDN w:val="0"/>
        <w:adjustRightInd w:val="0"/>
        <w:spacing w:line="320" w:lineRule="exact"/>
        <w:jc w:val="both"/>
        <w:rPr>
          <w:rFonts w:ascii="Arial" w:hAnsi="Arial" w:cs="David"/>
          <w:b/>
          <w:bCs/>
          <w:color w:val="0000FF"/>
          <w:rtl/>
        </w:rPr>
      </w:pPr>
    </w:p>
    <w:p w:rsidR="00D350A6" w:rsidRPr="00B6685A" w:rsidRDefault="00D350A6" w:rsidP="00D350A6">
      <w:pPr>
        <w:widowControl w:val="0"/>
        <w:autoSpaceDE w:val="0"/>
        <w:autoSpaceDN w:val="0"/>
        <w:adjustRightInd w:val="0"/>
        <w:spacing w:line="320" w:lineRule="exact"/>
        <w:jc w:val="both"/>
        <w:rPr>
          <w:rFonts w:ascii="Arial" w:hAnsi="Arial" w:cs="David"/>
          <w:b/>
          <w:bCs/>
          <w:color w:val="0000FF"/>
          <w:rtl/>
        </w:rPr>
      </w:pPr>
      <w:r w:rsidRPr="00B6685A">
        <w:rPr>
          <w:rFonts w:ascii="Arial" w:hAnsi="Arial" w:cs="David"/>
          <w:b/>
          <w:bCs/>
          <w:color w:val="0000FF"/>
          <w:rtl/>
        </w:rPr>
        <w:t xml:space="preserve">דרישות הקורס: </w:t>
      </w:r>
    </w:p>
    <w:p w:rsidR="00D350A6" w:rsidRPr="00B6685A" w:rsidRDefault="00D350A6" w:rsidP="00C26E57">
      <w:pPr>
        <w:autoSpaceDE w:val="0"/>
        <w:autoSpaceDN w:val="0"/>
        <w:adjustRightInd w:val="0"/>
        <w:spacing w:line="360" w:lineRule="auto"/>
        <w:rPr>
          <w:rFonts w:ascii="David-Reg" w:cs="David"/>
          <w:rtl/>
        </w:rPr>
      </w:pPr>
      <w:r>
        <w:rPr>
          <w:rFonts w:ascii="Arial" w:hAnsi="Arial" w:cs="David" w:hint="cs"/>
          <w:rtl/>
        </w:rPr>
        <w:t xml:space="preserve">צפייה בשיעורים </w:t>
      </w:r>
    </w:p>
    <w:p w:rsidR="00D350A6" w:rsidRDefault="00D350A6" w:rsidP="00D350A6">
      <w:pPr>
        <w:rPr>
          <w:rFonts w:cs="David"/>
          <w:b/>
          <w:bCs/>
          <w:color w:val="0033CC"/>
          <w:rtl/>
        </w:rPr>
      </w:pPr>
    </w:p>
    <w:p w:rsidR="00D350A6" w:rsidRPr="00B6685A" w:rsidRDefault="00D350A6" w:rsidP="00D350A6">
      <w:pPr>
        <w:rPr>
          <w:rFonts w:cs="David"/>
          <w:rtl/>
        </w:rPr>
      </w:pPr>
      <w:r w:rsidRPr="00B6685A">
        <w:rPr>
          <w:rFonts w:cs="David"/>
          <w:b/>
          <w:bCs/>
          <w:color w:val="0033CC"/>
          <w:rtl/>
        </w:rPr>
        <w:t>קריאת חובה</w:t>
      </w:r>
      <w:r w:rsidRPr="00B6685A">
        <w:rPr>
          <w:rFonts w:cs="David"/>
          <w:color w:val="0033CC"/>
          <w:rtl/>
        </w:rPr>
        <w:t>:</w:t>
      </w:r>
      <w:r w:rsidRPr="00B6685A">
        <w:rPr>
          <w:rFonts w:cs="David"/>
          <w:rtl/>
        </w:rPr>
        <w:t xml:space="preserve"> </w:t>
      </w:r>
      <w:r w:rsidRPr="00B6685A">
        <w:rPr>
          <w:rFonts w:cs="David" w:hint="cs"/>
          <w:rtl/>
        </w:rPr>
        <w:t xml:space="preserve">תצוין במהלך הקורס, מתוך המאמרים </w:t>
      </w:r>
      <w:r>
        <w:rPr>
          <w:rFonts w:cs="David" w:hint="cs"/>
          <w:rtl/>
        </w:rPr>
        <w:t xml:space="preserve">והספרים </w:t>
      </w:r>
      <w:r w:rsidRPr="00B6685A">
        <w:rPr>
          <w:rFonts w:cs="David" w:hint="cs"/>
          <w:rtl/>
        </w:rPr>
        <w:t>שלמטה, או כאלו שיועלו לאתר הקורס</w:t>
      </w:r>
      <w:r w:rsidRPr="00B6685A">
        <w:rPr>
          <w:rFonts w:cs="David"/>
          <w:rtl/>
        </w:rPr>
        <w:t xml:space="preserve">. </w:t>
      </w:r>
    </w:p>
    <w:p w:rsidR="00D350A6" w:rsidRPr="00864D30" w:rsidRDefault="00D350A6" w:rsidP="00B42D3C">
      <w:pPr>
        <w:autoSpaceDE w:val="0"/>
        <w:autoSpaceDN w:val="0"/>
        <w:adjustRightInd w:val="0"/>
        <w:rPr>
          <w:rFonts w:ascii="David-Bold" w:cs="David"/>
          <w:rtl/>
        </w:rPr>
      </w:pPr>
      <w:r>
        <w:rPr>
          <w:rFonts w:ascii="Arial" w:hAnsi="Arial" w:cs="David" w:hint="cs"/>
          <w:b/>
          <w:bCs/>
          <w:color w:val="0033CC"/>
          <w:rtl/>
        </w:rPr>
        <w:t>מטלות חובה</w:t>
      </w:r>
      <w:r w:rsidRPr="00864D30">
        <w:rPr>
          <w:rFonts w:ascii="David-Bold" w:cs="David" w:hint="cs"/>
          <w:b/>
          <w:bCs/>
          <w:color w:val="1F3864"/>
          <w:rtl/>
        </w:rPr>
        <w:t>:</w:t>
      </w:r>
      <w:r>
        <w:rPr>
          <w:rFonts w:ascii="David-Bold" w:cs="David" w:hint="cs"/>
          <w:b/>
          <w:bCs/>
          <w:rtl/>
        </w:rPr>
        <w:t xml:space="preserve"> </w:t>
      </w:r>
      <w:r>
        <w:rPr>
          <w:rFonts w:ascii="David-Bold" w:cs="David" w:hint="cs"/>
          <w:rtl/>
        </w:rPr>
        <w:t xml:space="preserve">במהלך הקורס יועלו </w:t>
      </w:r>
      <w:r w:rsidR="00B42D3C">
        <w:rPr>
          <w:rFonts w:ascii="David-Bold" w:cs="David" w:hint="cs"/>
          <w:rtl/>
        </w:rPr>
        <w:t>2</w:t>
      </w:r>
      <w:r>
        <w:rPr>
          <w:rFonts w:ascii="David-Bold" w:cs="David" w:hint="cs"/>
          <w:rtl/>
        </w:rPr>
        <w:t xml:space="preserve"> מטלות חובה שיש להגישן. </w:t>
      </w:r>
    </w:p>
    <w:p w:rsidR="00D350A6" w:rsidRPr="00AC30CB" w:rsidRDefault="00D350A6" w:rsidP="00500DF5">
      <w:pPr>
        <w:widowControl w:val="0"/>
        <w:autoSpaceDE w:val="0"/>
        <w:autoSpaceDN w:val="0"/>
        <w:adjustRightInd w:val="0"/>
        <w:spacing w:line="360" w:lineRule="auto"/>
        <w:jc w:val="both"/>
        <w:rPr>
          <w:rFonts w:cs="David"/>
          <w:rtl/>
        </w:rPr>
      </w:pPr>
      <w:r w:rsidRPr="003C13DA">
        <w:rPr>
          <w:rFonts w:ascii="Arial" w:hAnsi="Arial" w:cs="David"/>
          <w:b/>
          <w:bCs/>
          <w:color w:val="0033CC"/>
          <w:rtl/>
        </w:rPr>
        <w:t>מרכיבי הציון הסופ</w:t>
      </w:r>
      <w:r>
        <w:rPr>
          <w:rFonts w:ascii="Arial" w:hAnsi="Arial" w:cs="David" w:hint="cs"/>
          <w:b/>
          <w:bCs/>
          <w:color w:val="0033CC"/>
          <w:rtl/>
        </w:rPr>
        <w:t>י:</w:t>
      </w:r>
      <w:r w:rsidRPr="00864D30">
        <w:rPr>
          <w:rFonts w:ascii="Arial" w:hAnsi="Arial" w:cs="David" w:hint="cs"/>
          <w:color w:val="0033CC"/>
          <w:rtl/>
        </w:rPr>
        <w:t xml:space="preserve"> </w:t>
      </w:r>
      <w:r w:rsidRPr="00AC30CB">
        <w:rPr>
          <w:rFonts w:ascii="Arial" w:hAnsi="Arial" w:cs="David" w:hint="cs"/>
          <w:rtl/>
        </w:rPr>
        <w:t xml:space="preserve">10% מטלות חובה, </w:t>
      </w:r>
      <w:r w:rsidR="004E223A" w:rsidRPr="00AC30CB">
        <w:rPr>
          <w:rFonts w:ascii="Arial" w:hAnsi="Arial" w:cs="David" w:hint="cs"/>
          <w:rtl/>
        </w:rPr>
        <w:t xml:space="preserve">90% </w:t>
      </w:r>
      <w:r w:rsidR="00500DF5" w:rsidRPr="00AC30CB">
        <w:rPr>
          <w:rFonts w:ascii="Arial" w:hAnsi="Arial" w:cs="David" w:hint="cs"/>
          <w:rtl/>
        </w:rPr>
        <w:t>מבחן בכיתה</w:t>
      </w:r>
      <w:r w:rsidRPr="00AC30CB">
        <w:rPr>
          <w:rFonts w:cs="David" w:hint="cs"/>
          <w:rtl/>
        </w:rPr>
        <w:t>.</w:t>
      </w:r>
    </w:p>
    <w:p w:rsidR="00D350A6" w:rsidRPr="00B6685A" w:rsidRDefault="00D350A6" w:rsidP="00D350A6">
      <w:pPr>
        <w:widowControl w:val="0"/>
        <w:autoSpaceDE w:val="0"/>
        <w:autoSpaceDN w:val="0"/>
        <w:adjustRightInd w:val="0"/>
        <w:spacing w:line="320" w:lineRule="exact"/>
        <w:jc w:val="both"/>
        <w:rPr>
          <w:rFonts w:cs="David"/>
          <w:b/>
          <w:bCs/>
          <w:color w:val="0033CC"/>
          <w:rtl/>
        </w:rPr>
      </w:pPr>
    </w:p>
    <w:p w:rsidR="00D350A6" w:rsidRPr="003C13DA" w:rsidRDefault="00D350A6" w:rsidP="00D350A6">
      <w:pPr>
        <w:widowControl w:val="0"/>
        <w:autoSpaceDE w:val="0"/>
        <w:autoSpaceDN w:val="0"/>
        <w:adjustRightInd w:val="0"/>
        <w:spacing w:line="320" w:lineRule="exact"/>
        <w:jc w:val="both"/>
        <w:rPr>
          <w:rFonts w:ascii="Arial" w:hAnsi="Arial" w:cs="David"/>
          <w:color w:val="0033CC"/>
          <w:rtl/>
        </w:rPr>
      </w:pPr>
      <w:r w:rsidRPr="00B6685A">
        <w:rPr>
          <w:rFonts w:ascii="Arial" w:hAnsi="Arial" w:cs="David"/>
          <w:b/>
          <w:bCs/>
          <w:color w:val="0000FF"/>
          <w:rtl/>
        </w:rPr>
        <w:br w:type="page"/>
      </w:r>
      <w:r w:rsidRPr="003C13DA">
        <w:rPr>
          <w:rFonts w:ascii="Arial" w:hAnsi="Arial" w:cs="David"/>
          <w:b/>
          <w:bCs/>
          <w:color w:val="0033CC"/>
          <w:rtl/>
        </w:rPr>
        <w:lastRenderedPageBreak/>
        <w:t>נושאי ה</w:t>
      </w:r>
      <w:r w:rsidRPr="003C13DA">
        <w:rPr>
          <w:rFonts w:ascii="Arial" w:hAnsi="Arial" w:cs="David" w:hint="cs"/>
          <w:b/>
          <w:bCs/>
          <w:color w:val="0033CC"/>
          <w:rtl/>
        </w:rPr>
        <w:t>שיעורים</w:t>
      </w:r>
      <w:r w:rsidRPr="003C13DA">
        <w:rPr>
          <w:rFonts w:ascii="Arial" w:hAnsi="Arial" w:cs="David"/>
          <w:b/>
          <w:bCs/>
          <w:color w:val="0033CC"/>
          <w:rtl/>
        </w:rPr>
        <w:t xml:space="preserve"> (נתון לשי</w:t>
      </w:r>
      <w:r>
        <w:rPr>
          <w:rFonts w:ascii="Arial" w:hAnsi="Arial" w:cs="David"/>
          <w:b/>
          <w:bCs/>
          <w:color w:val="0033CC"/>
          <w:rtl/>
        </w:rPr>
        <w:t>נוי</w:t>
      </w:r>
      <w:r>
        <w:rPr>
          <w:rFonts w:ascii="Arial" w:hAnsi="Arial" w:cs="David" w:hint="cs"/>
          <w:b/>
          <w:bCs/>
          <w:color w:val="0033CC"/>
          <w:rtl/>
        </w:rPr>
        <w:t xml:space="preserve"> בהתאם להתקדמות הכיתה</w:t>
      </w:r>
      <w:r w:rsidRPr="003C13DA">
        <w:rPr>
          <w:rFonts w:ascii="Arial" w:hAnsi="Arial" w:cs="David"/>
          <w:b/>
          <w:bCs/>
          <w:color w:val="0033CC"/>
          <w:rtl/>
        </w:rPr>
        <w:t>):</w:t>
      </w:r>
    </w:p>
    <w:p w:rsidR="00D350A6" w:rsidRPr="00B6685A" w:rsidRDefault="00D350A6" w:rsidP="00D350A6">
      <w:pPr>
        <w:tabs>
          <w:tab w:val="left" w:pos="720"/>
        </w:tabs>
        <w:bidi w:val="0"/>
        <w:ind w:left="-357" w:right="357"/>
        <w:rPr>
          <w:rFonts w:cs="David"/>
        </w:rPr>
      </w:pPr>
    </w:p>
    <w:p w:rsidR="00D350A6" w:rsidRDefault="00D350A6" w:rsidP="00DC381B">
      <w:pPr>
        <w:numPr>
          <w:ilvl w:val="0"/>
          <w:numId w:val="1"/>
        </w:numPr>
        <w:spacing w:line="276" w:lineRule="auto"/>
        <w:rPr>
          <w:rFonts w:ascii="David" w:hAnsi="David" w:cs="David"/>
        </w:rPr>
      </w:pPr>
      <w:r w:rsidRPr="00761733">
        <w:rPr>
          <w:rFonts w:ascii="David" w:hAnsi="David" w:cs="David"/>
          <w:b/>
          <w:bCs/>
          <w:rtl/>
        </w:rPr>
        <w:t xml:space="preserve">"שירת </w:t>
      </w:r>
      <w:proofErr w:type="spellStart"/>
      <w:r w:rsidRPr="00761733">
        <w:rPr>
          <w:rFonts w:ascii="David" w:hAnsi="David" w:cs="David"/>
          <w:b/>
          <w:bCs/>
          <w:rtl/>
        </w:rPr>
        <w:t>הניבלונגן</w:t>
      </w:r>
      <w:proofErr w:type="spellEnd"/>
      <w:r w:rsidRPr="00761733">
        <w:rPr>
          <w:rFonts w:ascii="David" w:hAnsi="David" w:cs="David"/>
          <w:b/>
          <w:bCs/>
          <w:rtl/>
        </w:rPr>
        <w:t xml:space="preserve"> באבן": האומה הגרמנית ממציאה את המיתוס הגותי</w:t>
      </w:r>
    </w:p>
    <w:p w:rsidR="00D350A6" w:rsidRPr="00DC381B" w:rsidRDefault="00D350A6" w:rsidP="00DC381B">
      <w:pPr>
        <w:tabs>
          <w:tab w:val="left" w:pos="720"/>
          <w:tab w:val="left" w:pos="869"/>
          <w:tab w:val="right" w:pos="8669"/>
        </w:tabs>
        <w:bidi w:val="0"/>
        <w:spacing w:line="276" w:lineRule="auto"/>
        <w:ind w:right="357"/>
        <w:rPr>
          <w:rFonts w:ascii="David" w:hAnsi="David" w:cs="David"/>
          <w:sz w:val="20"/>
          <w:szCs w:val="20"/>
        </w:rPr>
      </w:pPr>
    </w:p>
    <w:p w:rsidR="00D350A6" w:rsidRDefault="00D350A6" w:rsidP="00DC381B">
      <w:pPr>
        <w:tabs>
          <w:tab w:val="left" w:pos="720"/>
          <w:tab w:val="left" w:pos="869"/>
          <w:tab w:val="right" w:pos="8669"/>
        </w:tabs>
        <w:bidi w:val="0"/>
        <w:spacing w:line="276" w:lineRule="auto"/>
        <w:ind w:right="357"/>
        <w:rPr>
          <w:rFonts w:ascii="David" w:hAnsi="David" w:cs="David"/>
        </w:rPr>
      </w:pPr>
      <w:r w:rsidRPr="00FD7CC1">
        <w:rPr>
          <w:rFonts w:ascii="David" w:hAnsi="David" w:cs="David"/>
        </w:rPr>
        <w:t>Hans Belti</w:t>
      </w:r>
      <w:r>
        <w:rPr>
          <w:rFonts w:ascii="David" w:hAnsi="David" w:cs="David"/>
        </w:rPr>
        <w:t>n</w:t>
      </w:r>
      <w:r w:rsidRPr="00FD7CC1">
        <w:rPr>
          <w:rFonts w:ascii="David" w:hAnsi="David" w:cs="David"/>
        </w:rPr>
        <w:t xml:space="preserve">g, </w:t>
      </w:r>
      <w:proofErr w:type="gramStart"/>
      <w:r w:rsidRPr="00FD7CC1">
        <w:rPr>
          <w:rFonts w:ascii="David" w:hAnsi="David" w:cs="David"/>
          <w:i/>
          <w:iCs/>
        </w:rPr>
        <w:t>The</w:t>
      </w:r>
      <w:proofErr w:type="gramEnd"/>
      <w:r w:rsidRPr="00FD7CC1">
        <w:rPr>
          <w:rFonts w:ascii="David" w:hAnsi="David" w:cs="David"/>
          <w:i/>
          <w:iCs/>
        </w:rPr>
        <w:t xml:space="preserve"> Germans and Their Art: A Troublesome Relationship</w:t>
      </w:r>
      <w:r w:rsidRPr="00FD7CC1">
        <w:rPr>
          <w:rFonts w:ascii="David" w:hAnsi="David" w:cs="David"/>
        </w:rPr>
        <w:t>, trans. S</w:t>
      </w:r>
      <w:r>
        <w:rPr>
          <w:rFonts w:ascii="David" w:hAnsi="David" w:cs="David"/>
        </w:rPr>
        <w:t>cott</w:t>
      </w:r>
      <w:r w:rsidRPr="00FD7CC1">
        <w:rPr>
          <w:rFonts w:ascii="David" w:hAnsi="David" w:cs="David"/>
        </w:rPr>
        <w:t xml:space="preserve"> </w:t>
      </w:r>
      <w:proofErr w:type="spellStart"/>
      <w:r w:rsidRPr="00FD7CC1">
        <w:rPr>
          <w:rFonts w:ascii="David" w:hAnsi="David" w:cs="David"/>
        </w:rPr>
        <w:t>Kleage</w:t>
      </w:r>
      <w:proofErr w:type="spellEnd"/>
      <w:r w:rsidR="00DC381B">
        <w:rPr>
          <w:rFonts w:ascii="David" w:hAnsi="David" w:cs="David"/>
        </w:rPr>
        <w:t xml:space="preserve"> </w:t>
      </w:r>
      <w:r>
        <w:rPr>
          <w:rFonts w:ascii="David" w:hAnsi="David" w:cs="David"/>
        </w:rPr>
        <w:t xml:space="preserve">(New Haven: Yale University Press, 1998), 1–48. </w:t>
      </w:r>
      <w:r>
        <w:rPr>
          <w:rFonts w:ascii="David" w:hAnsi="David" w:cs="David"/>
        </w:rPr>
        <w:tab/>
      </w:r>
      <w:r>
        <w:rPr>
          <w:rFonts w:ascii="David" w:hAnsi="David" w:cs="David"/>
        </w:rPr>
        <w:tab/>
      </w:r>
      <w:r>
        <w:rPr>
          <w:rFonts w:ascii="David" w:hAnsi="David" w:cs="David"/>
        </w:rPr>
        <w:tab/>
      </w:r>
    </w:p>
    <w:p w:rsidR="00D350A6" w:rsidRPr="00FD7CC1" w:rsidRDefault="00D350A6" w:rsidP="00DC381B">
      <w:pPr>
        <w:tabs>
          <w:tab w:val="left" w:pos="720"/>
          <w:tab w:val="left" w:pos="869"/>
          <w:tab w:val="right" w:pos="8669"/>
        </w:tabs>
        <w:bidi w:val="0"/>
        <w:spacing w:line="276" w:lineRule="auto"/>
        <w:ind w:right="357"/>
        <w:rPr>
          <w:rFonts w:ascii="David" w:hAnsi="David" w:cs="David"/>
        </w:rPr>
      </w:pPr>
      <w:r>
        <w:rPr>
          <w:rFonts w:ascii="David" w:hAnsi="David" w:cs="David"/>
        </w:rPr>
        <w:t xml:space="preserve">Norbert </w:t>
      </w:r>
      <w:r w:rsidRPr="00FD7CC1">
        <w:rPr>
          <w:rFonts w:ascii="David" w:hAnsi="David" w:cs="David"/>
        </w:rPr>
        <w:t xml:space="preserve">Nussbaum, </w:t>
      </w:r>
      <w:r w:rsidRPr="00FD7CC1">
        <w:rPr>
          <w:rFonts w:ascii="David" w:hAnsi="David" w:cs="David"/>
          <w:i/>
          <w:iCs/>
        </w:rPr>
        <w:t>German Gothic Church Architecture</w:t>
      </w:r>
      <w:r>
        <w:rPr>
          <w:rFonts w:ascii="David" w:hAnsi="David" w:cs="David"/>
        </w:rPr>
        <w:t xml:space="preserve"> (New Haven: Yale University Press,</w:t>
      </w:r>
      <w:r w:rsidRPr="00FD7CC1">
        <w:rPr>
          <w:rFonts w:ascii="David" w:hAnsi="David" w:cs="David"/>
        </w:rPr>
        <w:t xml:space="preserve"> 2000), 9–14</w:t>
      </w:r>
      <w:r>
        <w:rPr>
          <w:rFonts w:ascii="David" w:hAnsi="David" w:cs="David"/>
        </w:rPr>
        <w:t>.</w:t>
      </w:r>
    </w:p>
    <w:p w:rsidR="00D350A6" w:rsidRPr="00FD7CC1" w:rsidRDefault="00D350A6" w:rsidP="00DC381B">
      <w:pPr>
        <w:tabs>
          <w:tab w:val="left" w:pos="720"/>
          <w:tab w:val="left" w:pos="869"/>
          <w:tab w:val="right" w:pos="8669"/>
        </w:tabs>
        <w:spacing w:line="276" w:lineRule="auto"/>
        <w:ind w:right="357"/>
        <w:rPr>
          <w:rFonts w:ascii="David" w:hAnsi="David" w:cs="David"/>
          <w:rtl/>
        </w:rPr>
      </w:pPr>
    </w:p>
    <w:p w:rsidR="00D350A6" w:rsidRPr="00076869" w:rsidRDefault="00D350A6" w:rsidP="00DC381B">
      <w:pPr>
        <w:numPr>
          <w:ilvl w:val="0"/>
          <w:numId w:val="1"/>
        </w:numPr>
        <w:spacing w:after="160" w:line="276" w:lineRule="auto"/>
        <w:contextualSpacing/>
        <w:rPr>
          <w:rFonts w:ascii="David" w:hAnsi="David" w:cs="David"/>
          <w:b/>
          <w:bCs/>
        </w:rPr>
      </w:pPr>
      <w:r w:rsidRPr="00076869">
        <w:rPr>
          <w:rFonts w:ascii="David" w:hAnsi="David" w:cs="David"/>
          <w:b/>
          <w:bCs/>
          <w:rtl/>
        </w:rPr>
        <w:t xml:space="preserve">אבירים מפתים ועלמות </w:t>
      </w:r>
      <w:proofErr w:type="spellStart"/>
      <w:r w:rsidRPr="00076869">
        <w:rPr>
          <w:rFonts w:ascii="David" w:hAnsi="David" w:cs="David"/>
          <w:b/>
          <w:bCs/>
          <w:rtl/>
        </w:rPr>
        <w:t>בוכיות</w:t>
      </w:r>
      <w:proofErr w:type="spellEnd"/>
      <w:r w:rsidRPr="00076869">
        <w:rPr>
          <w:rFonts w:ascii="David" w:hAnsi="David" w:cs="David"/>
          <w:b/>
          <w:bCs/>
          <w:rtl/>
        </w:rPr>
        <w:t>: מסע חצרוני לאורך הריין</w:t>
      </w:r>
    </w:p>
    <w:p w:rsidR="00D350A6" w:rsidRPr="00761733"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proofErr w:type="spellStart"/>
      <w:r w:rsidRPr="00761733">
        <w:rPr>
          <w:rFonts w:ascii="David" w:hAnsi="David" w:cs="David"/>
          <w:sz w:val="24"/>
          <w:szCs w:val="24"/>
        </w:rPr>
        <w:t>Elina</w:t>
      </w:r>
      <w:proofErr w:type="spellEnd"/>
      <w:r w:rsidRPr="00761733">
        <w:rPr>
          <w:rFonts w:ascii="David" w:hAnsi="David" w:cs="David"/>
          <w:sz w:val="24"/>
          <w:szCs w:val="24"/>
        </w:rPr>
        <w:t xml:space="preserve"> </w:t>
      </w:r>
      <w:proofErr w:type="spellStart"/>
      <w:r w:rsidRPr="00761733">
        <w:rPr>
          <w:rFonts w:ascii="David" w:hAnsi="David" w:cs="David"/>
          <w:sz w:val="24"/>
          <w:szCs w:val="24"/>
        </w:rPr>
        <w:t>Gertsman</w:t>
      </w:r>
      <w:proofErr w:type="spellEnd"/>
      <w:r w:rsidRPr="00761733">
        <w:rPr>
          <w:rFonts w:ascii="David" w:hAnsi="David" w:cs="David"/>
          <w:sz w:val="24"/>
          <w:szCs w:val="24"/>
        </w:rPr>
        <w:t>, "</w:t>
      </w:r>
      <w:r w:rsidRPr="00761733">
        <w:rPr>
          <w:rFonts w:ascii="David" w:eastAsia="Calibri" w:hAnsi="David" w:cs="David"/>
          <w:sz w:val="24"/>
          <w:szCs w:val="24"/>
          <w:lang w:eastAsia="en-US"/>
        </w:rPr>
        <w:t>The Facial Gesture: (Mis</w:t>
      </w:r>
      <w:proofErr w:type="gramStart"/>
      <w:r w:rsidRPr="00761733">
        <w:rPr>
          <w:rFonts w:ascii="David" w:eastAsia="Calibri" w:hAnsi="David" w:cs="David"/>
          <w:sz w:val="24"/>
          <w:szCs w:val="24"/>
          <w:lang w:eastAsia="en-US"/>
        </w:rPr>
        <w:t>)reading</w:t>
      </w:r>
      <w:proofErr w:type="gramEnd"/>
      <w:r w:rsidRPr="00761733">
        <w:rPr>
          <w:rFonts w:ascii="David" w:eastAsia="Calibri" w:hAnsi="David" w:cs="David"/>
          <w:sz w:val="24"/>
          <w:szCs w:val="24"/>
          <w:lang w:eastAsia="en-US"/>
        </w:rPr>
        <w:t xml:space="preserve"> Emotion in Gothic Art," </w:t>
      </w:r>
      <w:r>
        <w:rPr>
          <w:rFonts w:ascii="David" w:eastAsia="Calibri" w:hAnsi="David" w:cs="David"/>
          <w:i/>
          <w:iCs/>
          <w:sz w:val="24"/>
          <w:szCs w:val="24"/>
          <w:lang w:eastAsia="en-US"/>
        </w:rPr>
        <w:t xml:space="preserve">Journal of </w:t>
      </w:r>
      <w:r w:rsidRPr="00761733">
        <w:rPr>
          <w:rFonts w:ascii="David" w:eastAsia="Calibri" w:hAnsi="David" w:cs="David"/>
          <w:i/>
          <w:iCs/>
          <w:sz w:val="24"/>
          <w:szCs w:val="24"/>
          <w:lang w:eastAsia="en-US"/>
        </w:rPr>
        <w:t>Medieval Religious Cultures</w:t>
      </w:r>
      <w:r>
        <w:rPr>
          <w:rFonts w:ascii="David" w:eastAsia="Calibri" w:hAnsi="David" w:cs="David"/>
          <w:sz w:val="24"/>
          <w:szCs w:val="24"/>
          <w:lang w:eastAsia="en-US"/>
        </w:rPr>
        <w:t xml:space="preserve"> 36, no. 1 (2010):</w:t>
      </w:r>
      <w:r w:rsidRPr="00761733">
        <w:rPr>
          <w:rFonts w:ascii="David" w:eastAsia="Calibri" w:hAnsi="David" w:cs="David"/>
          <w:sz w:val="24"/>
          <w:szCs w:val="24"/>
          <w:lang w:eastAsia="en-US"/>
        </w:rPr>
        <w:t xml:space="preserve"> </w:t>
      </w:r>
      <w:r w:rsidRPr="00761733">
        <w:rPr>
          <w:rFonts w:ascii="David" w:hAnsi="David" w:cs="David"/>
          <w:sz w:val="24"/>
          <w:szCs w:val="24"/>
        </w:rPr>
        <w:t>28</w:t>
      </w:r>
      <w:r w:rsidRPr="00761733">
        <w:rPr>
          <w:rFonts w:ascii="David" w:eastAsia="Calibri" w:hAnsi="David" w:cs="David"/>
          <w:sz w:val="24"/>
          <w:szCs w:val="24"/>
        </w:rPr>
        <w:t>–</w:t>
      </w:r>
      <w:r w:rsidRPr="00761733">
        <w:rPr>
          <w:rFonts w:ascii="David" w:hAnsi="David" w:cs="David"/>
          <w:sz w:val="24"/>
          <w:szCs w:val="24"/>
        </w:rPr>
        <w:t>46.</w:t>
      </w:r>
    </w:p>
    <w:p w:rsidR="00D350A6" w:rsidRDefault="00D350A6" w:rsidP="00DC381B">
      <w:pPr>
        <w:autoSpaceDE w:val="0"/>
        <w:autoSpaceDN w:val="0"/>
        <w:bidi w:val="0"/>
        <w:adjustRightInd w:val="0"/>
        <w:spacing w:line="276" w:lineRule="auto"/>
        <w:rPr>
          <w:rFonts w:ascii="David" w:eastAsia="Calibri" w:hAnsi="David" w:cs="David"/>
        </w:rPr>
      </w:pPr>
    </w:p>
    <w:p w:rsidR="00D350A6" w:rsidRDefault="00D350A6" w:rsidP="00DC381B">
      <w:pPr>
        <w:autoSpaceDE w:val="0"/>
        <w:autoSpaceDN w:val="0"/>
        <w:bidi w:val="0"/>
        <w:adjustRightInd w:val="0"/>
        <w:spacing w:line="276" w:lineRule="auto"/>
        <w:rPr>
          <w:rFonts w:ascii="David" w:eastAsia="Calibri" w:hAnsi="David" w:cs="David"/>
          <w:rtl/>
        </w:rPr>
      </w:pPr>
      <w:r w:rsidRPr="00761733">
        <w:rPr>
          <w:rFonts w:ascii="David" w:eastAsia="Calibri" w:hAnsi="David" w:cs="David"/>
        </w:rPr>
        <w:t xml:space="preserve">Jacqueline Jung, “Dynamic Bodies and the Beholder’s Share: </w:t>
      </w:r>
      <w:r>
        <w:rPr>
          <w:rFonts w:ascii="David" w:eastAsia="Calibri" w:hAnsi="David" w:cs="David"/>
        </w:rPr>
        <w:t xml:space="preserve">The Wise and Foolish Virgins </w:t>
      </w:r>
      <w:r w:rsidRPr="00761733">
        <w:rPr>
          <w:rFonts w:ascii="David" w:eastAsia="Calibri" w:hAnsi="David" w:cs="David"/>
        </w:rPr>
        <w:t xml:space="preserve">of Magdeburg Cathedral,” in </w:t>
      </w:r>
      <w:proofErr w:type="spellStart"/>
      <w:r w:rsidRPr="00761733">
        <w:rPr>
          <w:rFonts w:ascii="David" w:eastAsia="Calibri" w:hAnsi="David" w:cs="David"/>
          <w:i/>
          <w:iCs/>
        </w:rPr>
        <w:t>Bild</w:t>
      </w:r>
      <w:proofErr w:type="spellEnd"/>
      <w:r w:rsidRPr="00761733">
        <w:rPr>
          <w:rFonts w:ascii="David" w:eastAsia="Calibri" w:hAnsi="David" w:cs="David"/>
          <w:i/>
          <w:iCs/>
        </w:rPr>
        <w:t xml:space="preserve"> und K</w:t>
      </w:r>
      <w:r w:rsidRPr="00761733">
        <w:rPr>
          <w:rFonts w:ascii="David" w:eastAsia="Calibri" w:hAnsi="David" w:cs="David"/>
          <w:i/>
          <w:iCs/>
          <w:rtl/>
        </w:rPr>
        <w:t>ö</w:t>
      </w:r>
      <w:proofErr w:type="spellStart"/>
      <w:r>
        <w:rPr>
          <w:rFonts w:ascii="David" w:eastAsia="Calibri" w:hAnsi="David" w:cs="David"/>
          <w:i/>
          <w:iCs/>
        </w:rPr>
        <w:t>rper</w:t>
      </w:r>
      <w:proofErr w:type="spellEnd"/>
      <w:r>
        <w:rPr>
          <w:rFonts w:ascii="David" w:eastAsia="Calibri" w:hAnsi="David" w:cs="David"/>
          <w:i/>
          <w:iCs/>
        </w:rPr>
        <w:t xml:space="preserve"> </w:t>
      </w:r>
      <w:proofErr w:type="spellStart"/>
      <w:r>
        <w:rPr>
          <w:rFonts w:ascii="David" w:eastAsia="Calibri" w:hAnsi="David" w:cs="David"/>
          <w:i/>
          <w:iCs/>
        </w:rPr>
        <w:t>im</w:t>
      </w:r>
      <w:proofErr w:type="spellEnd"/>
      <w:r>
        <w:rPr>
          <w:rFonts w:ascii="David" w:eastAsia="Calibri" w:hAnsi="David" w:cs="David"/>
          <w:i/>
          <w:iCs/>
        </w:rPr>
        <w:t xml:space="preserve"> </w:t>
      </w:r>
      <w:proofErr w:type="spellStart"/>
      <w:r>
        <w:rPr>
          <w:rFonts w:ascii="David" w:eastAsia="Calibri" w:hAnsi="David" w:cs="David"/>
          <w:i/>
          <w:iCs/>
        </w:rPr>
        <w:t>Mittelalter</w:t>
      </w:r>
      <w:proofErr w:type="spellEnd"/>
      <w:r w:rsidRPr="00761733">
        <w:rPr>
          <w:rFonts w:ascii="David" w:eastAsia="Calibri" w:hAnsi="David" w:cs="David"/>
        </w:rPr>
        <w:t>, ed. Kristin Marek et al.</w:t>
      </w:r>
      <w:r>
        <w:rPr>
          <w:rFonts w:ascii="David" w:eastAsia="Calibri" w:hAnsi="David" w:cs="David"/>
        </w:rPr>
        <w:t xml:space="preserve"> (Munich: Wilhelm Fink</w:t>
      </w:r>
      <w:proofErr w:type="gramStart"/>
      <w:r>
        <w:rPr>
          <w:rFonts w:ascii="David" w:eastAsia="Calibri" w:hAnsi="David" w:cs="David"/>
        </w:rPr>
        <w:t>,  2006</w:t>
      </w:r>
      <w:proofErr w:type="gramEnd"/>
      <w:r>
        <w:rPr>
          <w:rFonts w:ascii="David" w:eastAsia="Calibri" w:hAnsi="David" w:cs="David"/>
        </w:rPr>
        <w:t>), 135–</w:t>
      </w:r>
      <w:r w:rsidRPr="00761733">
        <w:rPr>
          <w:rFonts w:ascii="David" w:eastAsia="Calibri" w:hAnsi="David" w:cs="David"/>
        </w:rPr>
        <w:t>60.</w:t>
      </w:r>
    </w:p>
    <w:p w:rsidR="00D350A6" w:rsidRPr="00761733" w:rsidRDefault="00D350A6" w:rsidP="00DC381B">
      <w:pPr>
        <w:autoSpaceDE w:val="0"/>
        <w:autoSpaceDN w:val="0"/>
        <w:bidi w:val="0"/>
        <w:adjustRightInd w:val="0"/>
        <w:spacing w:line="276" w:lineRule="auto"/>
        <w:rPr>
          <w:rFonts w:ascii="David" w:hAnsi="David" w:cs="David"/>
        </w:rPr>
      </w:pPr>
    </w:p>
    <w:p w:rsidR="00D350A6" w:rsidRDefault="00D350A6" w:rsidP="00DC381B">
      <w:pPr>
        <w:numPr>
          <w:ilvl w:val="0"/>
          <w:numId w:val="1"/>
        </w:numPr>
        <w:spacing w:after="160" w:line="276" w:lineRule="auto"/>
        <w:contextualSpacing/>
        <w:rPr>
          <w:rFonts w:ascii="David" w:hAnsi="David" w:cs="David"/>
          <w:b/>
          <w:bCs/>
        </w:rPr>
      </w:pPr>
      <w:r w:rsidRPr="00076869">
        <w:rPr>
          <w:rFonts w:ascii="David" w:hAnsi="David" w:cs="David"/>
          <w:b/>
          <w:bCs/>
          <w:rtl/>
        </w:rPr>
        <w:t xml:space="preserve">עולם הרגש: פסלי המייסדים בקתדרלה של </w:t>
      </w:r>
      <w:proofErr w:type="spellStart"/>
      <w:r w:rsidRPr="00076869">
        <w:rPr>
          <w:rFonts w:ascii="David" w:hAnsi="David" w:cs="David"/>
          <w:b/>
          <w:bCs/>
          <w:rtl/>
        </w:rPr>
        <w:t>נאומבורג</w:t>
      </w:r>
      <w:proofErr w:type="spellEnd"/>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bidi/>
        <w:spacing w:line="276" w:lineRule="auto"/>
        <w:ind w:left="720" w:right="360"/>
        <w:rPr>
          <w:rFonts w:ascii="David" w:hAnsi="David" w:cs="David"/>
          <w:sz w:val="24"/>
          <w:szCs w:val="24"/>
        </w:rPr>
      </w:pPr>
      <w:r w:rsidRPr="00761733">
        <w:rPr>
          <w:rFonts w:ascii="David" w:hAnsi="David" w:cs="David"/>
          <w:sz w:val="24"/>
          <w:szCs w:val="24"/>
          <w:rtl/>
        </w:rPr>
        <w:t xml:space="preserve">טלי שפר, "הבט אחורה בזעם: הפוליטיקה של הרגשות בימי הביניים", </w:t>
      </w:r>
      <w:r w:rsidRPr="00761733">
        <w:rPr>
          <w:rStyle w:val="aa"/>
          <w:rFonts w:ascii="David" w:hAnsi="David" w:cs="David"/>
          <w:sz w:val="24"/>
          <w:szCs w:val="24"/>
          <w:rtl/>
        </w:rPr>
        <w:t>זמנים. רבעון להיסטוריה</w:t>
      </w:r>
      <w:r w:rsidRPr="00761733">
        <w:rPr>
          <w:rFonts w:ascii="David" w:hAnsi="David" w:cs="David"/>
          <w:iCs/>
          <w:sz w:val="24"/>
          <w:szCs w:val="24"/>
          <w:rtl/>
        </w:rPr>
        <w:t xml:space="preserve"> </w:t>
      </w:r>
      <w:r w:rsidRPr="00761733">
        <w:rPr>
          <w:rFonts w:ascii="David" w:hAnsi="David" w:cs="David"/>
          <w:i/>
          <w:sz w:val="24"/>
          <w:szCs w:val="24"/>
          <w:rtl/>
        </w:rPr>
        <w:t>87</w:t>
      </w:r>
      <w:r w:rsidRPr="00761733">
        <w:rPr>
          <w:rFonts w:ascii="David" w:hAnsi="David" w:cs="David"/>
          <w:sz w:val="24"/>
          <w:szCs w:val="24"/>
          <w:rtl/>
        </w:rPr>
        <w:t xml:space="preserve"> (2004), עמ' 22–33.</w:t>
      </w:r>
    </w:p>
    <w:p w:rsidR="00D350A6" w:rsidRPr="00761733"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bidi/>
        <w:spacing w:line="276" w:lineRule="auto"/>
        <w:ind w:left="720" w:right="360"/>
        <w:rPr>
          <w:rFonts w:ascii="David" w:hAnsi="David" w:cs="David"/>
          <w:sz w:val="24"/>
          <w:szCs w:val="24"/>
        </w:rPr>
      </w:pPr>
    </w:p>
    <w:p w:rsidR="00D350A6" w:rsidRDefault="00D350A6" w:rsidP="00DC381B">
      <w:pPr>
        <w:pStyle w:val="a8"/>
        <w:spacing w:line="276" w:lineRule="auto"/>
        <w:rPr>
          <w:rFonts w:ascii="David" w:hAnsi="David"/>
          <w:szCs w:val="24"/>
          <w:rtl/>
          <w:lang w:val="de-DE"/>
        </w:rPr>
      </w:pPr>
      <w:r w:rsidRPr="00761733">
        <w:rPr>
          <w:rFonts w:ascii="David" w:hAnsi="David"/>
          <w:szCs w:val="24"/>
          <w:lang w:val="de-DE"/>
        </w:rPr>
        <w:t xml:space="preserve">Assaf Pinkus, </w:t>
      </w:r>
      <w:r w:rsidRPr="00761733">
        <w:rPr>
          <w:rFonts w:ascii="David" w:hAnsi="David"/>
          <w:i/>
          <w:iCs/>
          <w:szCs w:val="24"/>
          <w:lang w:val="de-DE"/>
        </w:rPr>
        <w:t>Sculpting Simulacra in Medieval Germany, 1250-1380</w:t>
      </w:r>
      <w:r w:rsidRPr="00761733">
        <w:rPr>
          <w:rFonts w:ascii="David" w:hAnsi="David"/>
          <w:szCs w:val="24"/>
          <w:lang w:val="de-DE"/>
        </w:rPr>
        <w:t xml:space="preserve"> </w:t>
      </w:r>
      <w:r>
        <w:rPr>
          <w:rFonts w:ascii="David" w:hAnsi="David"/>
          <w:szCs w:val="24"/>
          <w:lang w:val="de-DE"/>
        </w:rPr>
        <w:t xml:space="preserve"> </w:t>
      </w:r>
      <w:r w:rsidRPr="00761733">
        <w:rPr>
          <w:rFonts w:ascii="David" w:hAnsi="David"/>
          <w:szCs w:val="24"/>
          <w:lang w:val="de-DE"/>
        </w:rPr>
        <w:t>(Burlington:</w:t>
      </w:r>
      <w:r>
        <w:rPr>
          <w:rFonts w:ascii="David" w:hAnsi="David"/>
          <w:szCs w:val="24"/>
          <w:lang w:val="de-DE"/>
        </w:rPr>
        <w:t xml:space="preserve"> A</w:t>
      </w:r>
      <w:r w:rsidRPr="00761733">
        <w:rPr>
          <w:rFonts w:ascii="David" w:hAnsi="David"/>
          <w:szCs w:val="24"/>
          <w:lang w:val="de-DE"/>
        </w:rPr>
        <w:t>s</w:t>
      </w:r>
      <w:r>
        <w:rPr>
          <w:rFonts w:ascii="David" w:hAnsi="David"/>
          <w:szCs w:val="24"/>
        </w:rPr>
        <w:t>h</w:t>
      </w:r>
      <w:r w:rsidRPr="00761733">
        <w:rPr>
          <w:rFonts w:ascii="David" w:hAnsi="David"/>
          <w:szCs w:val="24"/>
          <w:lang w:val="de-DE"/>
        </w:rPr>
        <w:t>gate,</w:t>
      </w:r>
      <w:r>
        <w:rPr>
          <w:rFonts w:ascii="David" w:hAnsi="David"/>
          <w:szCs w:val="24"/>
          <w:lang w:val="de-DE"/>
        </w:rPr>
        <w:tab/>
      </w:r>
      <w:r>
        <w:rPr>
          <w:rFonts w:ascii="David" w:hAnsi="David" w:hint="cs"/>
          <w:szCs w:val="24"/>
          <w:rtl/>
          <w:lang w:val="de-DE"/>
        </w:rPr>
        <w:t xml:space="preserve"> </w:t>
      </w:r>
      <w:r w:rsidRPr="00761733">
        <w:rPr>
          <w:rFonts w:ascii="David" w:hAnsi="David"/>
          <w:szCs w:val="24"/>
          <w:lang w:val="de-DE"/>
        </w:rPr>
        <w:t>2014), 29</w:t>
      </w:r>
      <w:r>
        <w:rPr>
          <w:rFonts w:ascii="David" w:hAnsi="David"/>
          <w:szCs w:val="24"/>
          <w:lang w:val="de-DE"/>
        </w:rPr>
        <w:t>–</w:t>
      </w:r>
      <w:r w:rsidRPr="00761733">
        <w:rPr>
          <w:rFonts w:ascii="David" w:hAnsi="David"/>
          <w:szCs w:val="24"/>
          <w:lang w:val="de-DE"/>
        </w:rPr>
        <w:t>70.</w:t>
      </w:r>
    </w:p>
    <w:p w:rsidR="00D350A6" w:rsidRPr="0003579F" w:rsidRDefault="00D350A6" w:rsidP="00DC381B">
      <w:pPr>
        <w:pStyle w:val="a8"/>
        <w:spacing w:line="276" w:lineRule="auto"/>
        <w:rPr>
          <w:rFonts w:ascii="David" w:hAnsi="David"/>
          <w:b/>
          <w:bCs/>
          <w:szCs w:val="24"/>
          <w:lang w:val="de-DE"/>
        </w:rPr>
      </w:pPr>
      <w:r w:rsidRPr="0003579F">
        <w:rPr>
          <w:rFonts w:ascii="David" w:hAnsi="David" w:hint="cs"/>
          <w:b/>
          <w:bCs/>
          <w:szCs w:val="24"/>
          <w:lang w:val="de-DE"/>
        </w:rPr>
        <w:t xml:space="preserve"> </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sz w:val="24"/>
          <w:szCs w:val="24"/>
        </w:rPr>
      </w:pPr>
      <w:r w:rsidRPr="00761733">
        <w:rPr>
          <w:rFonts w:ascii="David" w:hAnsi="David" w:cs="David"/>
          <w:sz w:val="24"/>
          <w:szCs w:val="24"/>
        </w:rPr>
        <w:t>Jacqueline E. Jung, “Peasant Meal or Lord’s Feast?</w:t>
      </w:r>
      <w:r>
        <w:rPr>
          <w:rFonts w:ascii="David" w:hAnsi="David" w:cs="David"/>
          <w:sz w:val="24"/>
          <w:szCs w:val="24"/>
        </w:rPr>
        <w:t xml:space="preserve"> The Social Iconography of the </w:t>
      </w:r>
      <w:proofErr w:type="spellStart"/>
      <w:r w:rsidRPr="00761733">
        <w:rPr>
          <w:rFonts w:ascii="David" w:hAnsi="David" w:cs="David"/>
          <w:sz w:val="24"/>
          <w:szCs w:val="24"/>
        </w:rPr>
        <w:t>Naumburg</w:t>
      </w:r>
      <w:proofErr w:type="spellEnd"/>
      <w:r w:rsidRPr="00761733">
        <w:rPr>
          <w:rFonts w:ascii="David" w:hAnsi="David" w:cs="David"/>
          <w:sz w:val="24"/>
          <w:szCs w:val="24"/>
        </w:rPr>
        <w:t xml:space="preserve"> Last Supper,” </w:t>
      </w:r>
      <w:proofErr w:type="spellStart"/>
      <w:r w:rsidRPr="00761733">
        <w:rPr>
          <w:rFonts w:ascii="David" w:hAnsi="David" w:cs="David"/>
          <w:i/>
          <w:iCs/>
          <w:sz w:val="24"/>
          <w:szCs w:val="24"/>
        </w:rPr>
        <w:t>Gesta</w:t>
      </w:r>
      <w:proofErr w:type="spellEnd"/>
      <w:r w:rsidRPr="00761733">
        <w:rPr>
          <w:rFonts w:ascii="David" w:hAnsi="David" w:cs="David"/>
          <w:i/>
          <w:iCs/>
          <w:sz w:val="24"/>
          <w:szCs w:val="24"/>
        </w:rPr>
        <w:t xml:space="preserve"> </w:t>
      </w:r>
      <w:r>
        <w:rPr>
          <w:rFonts w:ascii="David" w:hAnsi="David" w:cs="David"/>
          <w:sz w:val="24"/>
          <w:szCs w:val="24"/>
        </w:rPr>
        <w:t>42, no. 1 (2003): 39–</w:t>
      </w:r>
      <w:r w:rsidRPr="00761733">
        <w:rPr>
          <w:rFonts w:ascii="David" w:hAnsi="David" w:cs="David"/>
          <w:sz w:val="24"/>
          <w:szCs w:val="24"/>
        </w:rPr>
        <w:t>61.</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sz w:val="24"/>
          <w:szCs w:val="24"/>
        </w:rPr>
      </w:pP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sz w:val="24"/>
          <w:szCs w:val="24"/>
          <w:rtl/>
          <w:lang w:val="de-DE"/>
        </w:rPr>
      </w:pPr>
      <w:r w:rsidRPr="00761733">
        <w:rPr>
          <w:rFonts w:ascii="David" w:hAnsi="David" w:cs="David"/>
          <w:sz w:val="24"/>
          <w:szCs w:val="24"/>
        </w:rPr>
        <w:t xml:space="preserve">Willibald </w:t>
      </w:r>
      <w:proofErr w:type="spellStart"/>
      <w:r w:rsidRPr="00761733">
        <w:rPr>
          <w:rFonts w:ascii="David" w:hAnsi="David" w:cs="David"/>
          <w:sz w:val="24"/>
          <w:szCs w:val="24"/>
        </w:rPr>
        <w:t>Sauerl</w:t>
      </w:r>
      <w:proofErr w:type="spellEnd"/>
      <w:r w:rsidRPr="00761733">
        <w:rPr>
          <w:rFonts w:ascii="David" w:hAnsi="David" w:cs="David"/>
          <w:sz w:val="24"/>
          <w:szCs w:val="24"/>
          <w:lang w:val="de-DE"/>
        </w:rPr>
        <w:t xml:space="preserve">änder, </w:t>
      </w:r>
      <w:r w:rsidRPr="00761733">
        <w:rPr>
          <w:rFonts w:ascii="David" w:hAnsi="David" w:cs="David"/>
          <w:sz w:val="24"/>
          <w:szCs w:val="24"/>
        </w:rPr>
        <w:t>“</w:t>
      </w:r>
      <w:r w:rsidRPr="00761733">
        <w:rPr>
          <w:rFonts w:ascii="David" w:hAnsi="David" w:cs="David"/>
          <w:sz w:val="24"/>
          <w:szCs w:val="24"/>
          <w:lang w:val="de-DE"/>
        </w:rPr>
        <w:t>Die Naumburger Stiftfiguren: Rückblick und Fragen,</w:t>
      </w:r>
      <w:r w:rsidRPr="00761733">
        <w:rPr>
          <w:rFonts w:ascii="David" w:hAnsi="David" w:cs="David"/>
          <w:sz w:val="24"/>
          <w:szCs w:val="24"/>
        </w:rPr>
        <w:t>”</w:t>
      </w:r>
      <w:r w:rsidRPr="00761733">
        <w:rPr>
          <w:rFonts w:ascii="David" w:hAnsi="David" w:cs="David"/>
          <w:sz w:val="24"/>
          <w:szCs w:val="24"/>
          <w:lang w:val="de-DE"/>
        </w:rPr>
        <w:t xml:space="preserve"> </w:t>
      </w:r>
      <w:r w:rsidRPr="00761733">
        <w:rPr>
          <w:rFonts w:ascii="David" w:hAnsi="David" w:cs="David"/>
          <w:sz w:val="24"/>
          <w:szCs w:val="24"/>
        </w:rPr>
        <w:t xml:space="preserve">in: </w:t>
      </w:r>
      <w:r>
        <w:rPr>
          <w:rFonts w:ascii="David" w:hAnsi="David" w:cs="David"/>
          <w:i/>
          <w:iCs/>
          <w:sz w:val="24"/>
          <w:szCs w:val="24"/>
        </w:rPr>
        <w:t xml:space="preserve">Die </w:t>
      </w:r>
      <w:proofErr w:type="spellStart"/>
      <w:r>
        <w:rPr>
          <w:rFonts w:ascii="David" w:hAnsi="David" w:cs="David"/>
          <w:i/>
          <w:iCs/>
          <w:sz w:val="24"/>
          <w:szCs w:val="24"/>
        </w:rPr>
        <w:t>Zeit</w:t>
      </w:r>
      <w:proofErr w:type="spellEnd"/>
      <w:r>
        <w:rPr>
          <w:rFonts w:ascii="David" w:hAnsi="David" w:cs="David"/>
          <w:i/>
          <w:iCs/>
          <w:sz w:val="24"/>
          <w:szCs w:val="24"/>
        </w:rPr>
        <w:t xml:space="preserve"> </w:t>
      </w:r>
      <w:r w:rsidRPr="00761733">
        <w:rPr>
          <w:rFonts w:ascii="David" w:hAnsi="David" w:cs="David"/>
          <w:i/>
          <w:iCs/>
          <w:sz w:val="24"/>
          <w:szCs w:val="24"/>
        </w:rPr>
        <w:t xml:space="preserve">der </w:t>
      </w:r>
      <w:proofErr w:type="spellStart"/>
      <w:r w:rsidRPr="00761733">
        <w:rPr>
          <w:rFonts w:ascii="David" w:hAnsi="David" w:cs="David"/>
          <w:i/>
          <w:iCs/>
          <w:sz w:val="24"/>
          <w:szCs w:val="24"/>
        </w:rPr>
        <w:t>Staufer</w:t>
      </w:r>
      <w:proofErr w:type="spellEnd"/>
      <w:r w:rsidRPr="00761733">
        <w:rPr>
          <w:rFonts w:ascii="David" w:hAnsi="David" w:cs="David"/>
          <w:i/>
          <w:iCs/>
          <w:sz w:val="24"/>
          <w:szCs w:val="24"/>
        </w:rPr>
        <w:t xml:space="preserve"> </w:t>
      </w:r>
      <w:r w:rsidRPr="00761733">
        <w:rPr>
          <w:rFonts w:ascii="David" w:hAnsi="David" w:cs="David"/>
          <w:sz w:val="24"/>
          <w:szCs w:val="24"/>
        </w:rPr>
        <w:t>(</w:t>
      </w:r>
      <w:r w:rsidRPr="0019051A">
        <w:rPr>
          <w:rFonts w:ascii="David" w:hAnsi="David" w:cs="David"/>
          <w:sz w:val="24"/>
          <w:szCs w:val="24"/>
        </w:rPr>
        <w:t xml:space="preserve">Stuttgart: </w:t>
      </w:r>
      <w:proofErr w:type="spellStart"/>
      <w:r w:rsidRPr="0019051A">
        <w:rPr>
          <w:rFonts w:ascii="David" w:hAnsi="David" w:cs="David"/>
          <w:sz w:val="24"/>
          <w:szCs w:val="24"/>
        </w:rPr>
        <w:t>Wurttembergisches</w:t>
      </w:r>
      <w:proofErr w:type="spellEnd"/>
      <w:r w:rsidRPr="0019051A">
        <w:rPr>
          <w:rFonts w:ascii="David" w:hAnsi="David" w:cs="David"/>
          <w:sz w:val="24"/>
          <w:szCs w:val="24"/>
        </w:rPr>
        <w:t xml:space="preserve"> </w:t>
      </w:r>
      <w:proofErr w:type="spellStart"/>
      <w:r w:rsidRPr="0019051A">
        <w:rPr>
          <w:rFonts w:ascii="David" w:hAnsi="David" w:cs="David"/>
          <w:sz w:val="24"/>
          <w:szCs w:val="24"/>
        </w:rPr>
        <w:t>Landesmuseum</w:t>
      </w:r>
      <w:proofErr w:type="spellEnd"/>
      <w:r w:rsidRPr="00761733">
        <w:rPr>
          <w:rFonts w:ascii="David" w:hAnsi="David" w:cs="David"/>
          <w:sz w:val="24"/>
          <w:szCs w:val="24"/>
        </w:rPr>
        <w:t xml:space="preserve">), </w:t>
      </w:r>
      <w:r>
        <w:rPr>
          <w:rFonts w:ascii="David" w:hAnsi="David" w:cs="David"/>
          <w:sz w:val="24"/>
          <w:szCs w:val="24"/>
        </w:rPr>
        <w:t>5:</w:t>
      </w:r>
      <w:r w:rsidRPr="00761733">
        <w:rPr>
          <w:rFonts w:ascii="David" w:hAnsi="David" w:cs="David"/>
          <w:sz w:val="24"/>
          <w:szCs w:val="24"/>
          <w:lang w:val="de-DE"/>
        </w:rPr>
        <w:t>169</w:t>
      </w:r>
      <w:r>
        <w:rPr>
          <w:rFonts w:ascii="David" w:hAnsi="David" w:cs="David"/>
          <w:sz w:val="24"/>
          <w:szCs w:val="24"/>
          <w:lang w:val="de-DE"/>
        </w:rPr>
        <w:t>–</w:t>
      </w:r>
      <w:r w:rsidRPr="00761733">
        <w:rPr>
          <w:rFonts w:ascii="David" w:hAnsi="David" w:cs="David"/>
          <w:sz w:val="24"/>
          <w:szCs w:val="24"/>
          <w:lang w:val="de-DE"/>
        </w:rPr>
        <w:t>245.</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sz w:val="24"/>
          <w:szCs w:val="24"/>
          <w:rtl/>
          <w:lang w:val="de-DE"/>
        </w:rPr>
      </w:pPr>
    </w:p>
    <w:p w:rsidR="00D350A6" w:rsidRPr="00761733"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sz w:val="24"/>
          <w:szCs w:val="24"/>
        </w:rPr>
      </w:pPr>
      <w:r w:rsidRPr="00761733">
        <w:rPr>
          <w:rFonts w:ascii="David" w:hAnsi="David" w:cs="David"/>
          <w:sz w:val="24"/>
          <w:szCs w:val="24"/>
          <w:lang w:val="de-DE"/>
        </w:rPr>
        <w:t xml:space="preserve">Michael Viktor Schwarz, </w:t>
      </w:r>
      <w:r w:rsidRPr="00761733">
        <w:rPr>
          <w:rFonts w:ascii="David" w:hAnsi="David" w:cs="David"/>
          <w:sz w:val="24"/>
          <w:szCs w:val="24"/>
        </w:rPr>
        <w:t xml:space="preserve">“Retelling the Passion at </w:t>
      </w:r>
      <w:proofErr w:type="spellStart"/>
      <w:r w:rsidRPr="00761733">
        <w:rPr>
          <w:rFonts w:ascii="David" w:hAnsi="David" w:cs="David"/>
          <w:sz w:val="24"/>
          <w:szCs w:val="24"/>
        </w:rPr>
        <w:t>Nau</w:t>
      </w:r>
      <w:r>
        <w:rPr>
          <w:rFonts w:ascii="David" w:hAnsi="David" w:cs="David"/>
          <w:sz w:val="24"/>
          <w:szCs w:val="24"/>
        </w:rPr>
        <w:t>mburg</w:t>
      </w:r>
      <w:proofErr w:type="spellEnd"/>
      <w:r>
        <w:rPr>
          <w:rFonts w:ascii="David" w:hAnsi="David" w:cs="David"/>
          <w:sz w:val="24"/>
          <w:szCs w:val="24"/>
        </w:rPr>
        <w:t xml:space="preserve">: The West-Screen and its </w:t>
      </w:r>
      <w:r w:rsidRPr="00761733">
        <w:rPr>
          <w:rFonts w:ascii="David" w:hAnsi="David" w:cs="David"/>
          <w:sz w:val="24"/>
          <w:szCs w:val="24"/>
        </w:rPr>
        <w:t xml:space="preserve">Audience,” </w:t>
      </w:r>
      <w:proofErr w:type="spellStart"/>
      <w:r w:rsidRPr="00761733">
        <w:rPr>
          <w:rFonts w:ascii="David" w:hAnsi="David" w:cs="David"/>
          <w:i/>
          <w:iCs/>
          <w:sz w:val="24"/>
          <w:szCs w:val="24"/>
        </w:rPr>
        <w:t>artibus</w:t>
      </w:r>
      <w:proofErr w:type="spellEnd"/>
      <w:r w:rsidRPr="00761733">
        <w:rPr>
          <w:rFonts w:ascii="David" w:hAnsi="David" w:cs="David"/>
          <w:i/>
          <w:iCs/>
          <w:sz w:val="24"/>
          <w:szCs w:val="24"/>
        </w:rPr>
        <w:t xml:space="preserve"> et </w:t>
      </w:r>
      <w:proofErr w:type="spellStart"/>
      <w:r w:rsidRPr="00761733">
        <w:rPr>
          <w:rFonts w:ascii="David" w:hAnsi="David" w:cs="David"/>
          <w:i/>
          <w:iCs/>
          <w:sz w:val="24"/>
          <w:szCs w:val="24"/>
        </w:rPr>
        <w:t>historiae</w:t>
      </w:r>
      <w:proofErr w:type="spellEnd"/>
      <w:r>
        <w:rPr>
          <w:rFonts w:ascii="David" w:hAnsi="David" w:cs="David"/>
          <w:sz w:val="24"/>
          <w:szCs w:val="24"/>
        </w:rPr>
        <w:t xml:space="preserve"> </w:t>
      </w:r>
      <w:r w:rsidRPr="00761733">
        <w:rPr>
          <w:rFonts w:ascii="David" w:hAnsi="David" w:cs="David"/>
          <w:sz w:val="24"/>
          <w:szCs w:val="24"/>
        </w:rPr>
        <w:t>51</w:t>
      </w:r>
      <w:r>
        <w:rPr>
          <w:rFonts w:ascii="David" w:hAnsi="David" w:cs="David"/>
          <w:sz w:val="24"/>
          <w:szCs w:val="24"/>
        </w:rPr>
        <w:t xml:space="preserve"> </w:t>
      </w:r>
      <w:r w:rsidRPr="00761733">
        <w:rPr>
          <w:rFonts w:ascii="David" w:hAnsi="David" w:cs="David"/>
          <w:sz w:val="24"/>
          <w:szCs w:val="24"/>
        </w:rPr>
        <w:t>(2005)</w:t>
      </w:r>
      <w:r>
        <w:rPr>
          <w:rFonts w:ascii="David" w:hAnsi="David" w:cs="David"/>
          <w:sz w:val="24"/>
          <w:szCs w:val="24"/>
        </w:rPr>
        <w:t xml:space="preserve">: </w:t>
      </w:r>
      <w:r w:rsidRPr="00761733">
        <w:rPr>
          <w:rFonts w:ascii="David" w:hAnsi="David" w:cs="David"/>
          <w:sz w:val="24"/>
          <w:szCs w:val="24"/>
        </w:rPr>
        <w:t>59</w:t>
      </w:r>
      <w:r>
        <w:rPr>
          <w:rFonts w:ascii="David" w:hAnsi="David" w:cs="David"/>
          <w:sz w:val="24"/>
          <w:szCs w:val="24"/>
        </w:rPr>
        <w:t>–</w:t>
      </w:r>
      <w:r w:rsidRPr="00761733">
        <w:rPr>
          <w:rFonts w:ascii="David" w:hAnsi="David" w:cs="David"/>
          <w:sz w:val="24"/>
          <w:szCs w:val="24"/>
        </w:rPr>
        <w:t xml:space="preserve">72. </w:t>
      </w:r>
    </w:p>
    <w:p w:rsidR="00D350A6" w:rsidRDefault="00D350A6" w:rsidP="00DC381B">
      <w:pPr>
        <w:pStyle w:val="a8"/>
        <w:spacing w:line="276" w:lineRule="auto"/>
        <w:rPr>
          <w:rFonts w:ascii="David" w:hAnsi="David"/>
          <w:szCs w:val="24"/>
          <w:rtl/>
          <w:lang w:val="de-DE"/>
        </w:rPr>
      </w:pPr>
    </w:p>
    <w:p w:rsidR="00D350A6" w:rsidRPr="00076869" w:rsidRDefault="00D350A6" w:rsidP="00DC381B">
      <w:pPr>
        <w:numPr>
          <w:ilvl w:val="0"/>
          <w:numId w:val="1"/>
        </w:numPr>
        <w:spacing w:after="160" w:line="276" w:lineRule="auto"/>
        <w:contextualSpacing/>
        <w:rPr>
          <w:rFonts w:ascii="David" w:hAnsi="David" w:cs="David"/>
          <w:b/>
          <w:bCs/>
        </w:rPr>
      </w:pPr>
      <w:r>
        <w:rPr>
          <w:rFonts w:ascii="David" w:hAnsi="David" w:cs="David"/>
          <w:b/>
          <w:bCs/>
          <w:rtl/>
        </w:rPr>
        <w:t>ההיסטוריה על</w:t>
      </w:r>
      <w:r>
        <w:rPr>
          <w:rFonts w:ascii="David" w:hAnsi="David" w:cs="David"/>
          <w:b/>
          <w:bCs/>
        </w:rPr>
        <w:t>-</w:t>
      </w:r>
      <w:r w:rsidRPr="00076869">
        <w:rPr>
          <w:rFonts w:ascii="David" w:hAnsi="David" w:cs="David"/>
          <w:b/>
          <w:bCs/>
          <w:rtl/>
        </w:rPr>
        <w:t>פי דיסני: מסקסוניה להוליווד</w:t>
      </w:r>
    </w:p>
    <w:p w:rsidR="00D350A6" w:rsidRPr="00761733" w:rsidRDefault="00D350A6" w:rsidP="00DC381B">
      <w:pPr>
        <w:spacing w:line="276" w:lineRule="auto"/>
        <w:ind w:left="720"/>
        <w:rPr>
          <w:rFonts w:ascii="David" w:hAnsi="David" w:cs="David"/>
        </w:rPr>
      </w:pPr>
      <w:r w:rsidRPr="00761733">
        <w:rPr>
          <w:rFonts w:ascii="David" w:hAnsi="David" w:cs="David"/>
          <w:color w:val="000000"/>
          <w:rtl/>
        </w:rPr>
        <w:t xml:space="preserve">אורי </w:t>
      </w:r>
      <w:bookmarkStart w:id="1" w:name="OLE_LINK2"/>
      <w:bookmarkStart w:id="2" w:name="OLE_LINK1"/>
      <w:proofErr w:type="spellStart"/>
      <w:r w:rsidRPr="00761733">
        <w:rPr>
          <w:rFonts w:ascii="David" w:hAnsi="David" w:cs="David"/>
          <w:color w:val="000000"/>
          <w:rtl/>
        </w:rPr>
        <w:t>זילברשייד</w:t>
      </w:r>
      <w:bookmarkEnd w:id="1"/>
      <w:bookmarkEnd w:id="2"/>
      <w:proofErr w:type="spellEnd"/>
      <w:r w:rsidRPr="00761733">
        <w:rPr>
          <w:rFonts w:ascii="David" w:hAnsi="David" w:cs="David"/>
          <w:color w:val="000000"/>
          <w:rtl/>
        </w:rPr>
        <w:t xml:space="preserve">, </w:t>
      </w:r>
      <w:r w:rsidRPr="00761733">
        <w:rPr>
          <w:rFonts w:ascii="David" w:hAnsi="David" w:cs="David"/>
          <w:color w:val="000000"/>
          <w:u w:val="single"/>
          <w:rtl/>
        </w:rPr>
        <w:t>המסתורין של שלגיה וסינדרלה. מסע פרוידיאני אל נבכיהן של אגדות החלום</w:t>
      </w:r>
      <w:r w:rsidRPr="00761733">
        <w:rPr>
          <w:rFonts w:ascii="David" w:hAnsi="David" w:cs="David"/>
          <w:color w:val="000000"/>
          <w:rtl/>
        </w:rPr>
        <w:t xml:space="preserve"> </w:t>
      </w:r>
      <w:r>
        <w:rPr>
          <w:rFonts w:ascii="David" w:hAnsi="David" w:cs="David"/>
          <w:rtl/>
        </w:rPr>
        <w:t>(תל אבי</w:t>
      </w:r>
      <w:r>
        <w:rPr>
          <w:rFonts w:ascii="David" w:hAnsi="David" w:cs="David" w:hint="cs"/>
          <w:rtl/>
        </w:rPr>
        <w:t xml:space="preserve">ב: </w:t>
      </w:r>
      <w:proofErr w:type="spellStart"/>
      <w:r>
        <w:rPr>
          <w:rFonts w:ascii="David" w:hAnsi="David" w:cs="David" w:hint="cs"/>
          <w:rtl/>
        </w:rPr>
        <w:t>צ׳ריקובר</w:t>
      </w:r>
      <w:proofErr w:type="spellEnd"/>
      <w:r>
        <w:rPr>
          <w:rFonts w:ascii="David" w:hAnsi="David" w:cs="David" w:hint="cs"/>
          <w:rtl/>
        </w:rPr>
        <w:t>,</w:t>
      </w:r>
      <w:r>
        <w:rPr>
          <w:rFonts w:ascii="David" w:hAnsi="David" w:cs="David"/>
        </w:rPr>
        <w:t xml:space="preserve"> </w:t>
      </w:r>
      <w:r w:rsidRPr="00761733">
        <w:rPr>
          <w:rFonts w:ascii="David" w:hAnsi="David" w:cs="David"/>
          <w:rtl/>
        </w:rPr>
        <w:t>1998).</w:t>
      </w:r>
    </w:p>
    <w:p w:rsidR="00D350A6" w:rsidRDefault="00D350A6" w:rsidP="00DC381B">
      <w:pPr>
        <w:spacing w:line="276" w:lineRule="auto"/>
        <w:ind w:left="720"/>
        <w:rPr>
          <w:rFonts w:ascii="David" w:hAnsi="David" w:cs="David"/>
          <w:color w:val="000000"/>
          <w:rtl/>
        </w:rPr>
      </w:pPr>
    </w:p>
    <w:p w:rsidR="00D350A6" w:rsidRDefault="00D350A6" w:rsidP="00DC381B">
      <w:pPr>
        <w:spacing w:line="276" w:lineRule="auto"/>
        <w:ind w:left="720" w:right="-284"/>
        <w:rPr>
          <w:rFonts w:ascii="David" w:hAnsi="David" w:cs="David"/>
          <w:rtl/>
        </w:rPr>
      </w:pPr>
      <w:r w:rsidRPr="00761733">
        <w:rPr>
          <w:rFonts w:ascii="David" w:hAnsi="David" w:cs="David"/>
          <w:color w:val="000000"/>
          <w:rtl/>
        </w:rPr>
        <w:t xml:space="preserve">יעל רנן, </w:t>
      </w:r>
      <w:r w:rsidRPr="00761733">
        <w:rPr>
          <w:rFonts w:ascii="David" w:hAnsi="David" w:cs="David"/>
          <w:color w:val="000000"/>
          <w:u w:val="single"/>
          <w:rtl/>
        </w:rPr>
        <w:t>התפוח המורעל: הגיבורה באגדות האירופאיות</w:t>
      </w:r>
      <w:r w:rsidRPr="00761733">
        <w:rPr>
          <w:rFonts w:ascii="David" w:hAnsi="David" w:cs="David"/>
          <w:rtl/>
        </w:rPr>
        <w:t xml:space="preserve"> (תל אביב</w:t>
      </w:r>
      <w:r>
        <w:rPr>
          <w:rFonts w:ascii="David" w:hAnsi="David" w:cs="David" w:hint="cs"/>
          <w:rtl/>
        </w:rPr>
        <w:t>: הקיבוץ המאוחד,</w:t>
      </w:r>
      <w:r w:rsidRPr="00761733">
        <w:rPr>
          <w:rFonts w:ascii="David" w:hAnsi="David" w:cs="David"/>
          <w:rtl/>
        </w:rPr>
        <w:t xml:space="preserve"> 2007). </w:t>
      </w:r>
    </w:p>
    <w:p w:rsidR="00D350A6" w:rsidRDefault="00D350A6" w:rsidP="00DC381B">
      <w:pPr>
        <w:spacing w:line="276" w:lineRule="auto"/>
        <w:ind w:left="720"/>
        <w:rPr>
          <w:rFonts w:ascii="David" w:hAnsi="David" w:cs="David"/>
        </w:rPr>
      </w:pPr>
    </w:p>
    <w:p w:rsidR="00D350A6" w:rsidRPr="00560AA5" w:rsidRDefault="00D350A6" w:rsidP="00DC381B">
      <w:pPr>
        <w:pStyle w:val="a8"/>
        <w:spacing w:line="276" w:lineRule="auto"/>
        <w:ind w:left="-284"/>
        <w:rPr>
          <w:rFonts w:ascii="David" w:hAnsi="David"/>
          <w:szCs w:val="24"/>
          <w:rtl/>
          <w:lang w:val="de-DE"/>
        </w:rPr>
      </w:pPr>
      <w:r>
        <w:rPr>
          <w:rFonts w:ascii="David" w:hAnsi="David"/>
          <w:szCs w:val="24"/>
        </w:rPr>
        <w:t xml:space="preserve">Bruno </w:t>
      </w:r>
      <w:r w:rsidRPr="00761733">
        <w:rPr>
          <w:rFonts w:ascii="David" w:hAnsi="David"/>
          <w:szCs w:val="24"/>
          <w:lang w:val="de-DE"/>
        </w:rPr>
        <w:t xml:space="preserve">Girveau, </w:t>
      </w:r>
      <w:r w:rsidRPr="00761733">
        <w:rPr>
          <w:rFonts w:ascii="David" w:hAnsi="David"/>
          <w:i/>
          <w:iCs/>
          <w:szCs w:val="24"/>
          <w:lang w:val="de-DE"/>
        </w:rPr>
        <w:t>Once Upon a Time—Walt Disney: The Sources of Inspiration for the Disney</w:t>
      </w:r>
      <w:r>
        <w:rPr>
          <w:rFonts w:ascii="David" w:hAnsi="David"/>
          <w:szCs w:val="24"/>
          <w:lang w:val="de-DE"/>
        </w:rPr>
        <w:t xml:space="preserve"> (Munich: Prestel, 2006).</w:t>
      </w:r>
    </w:p>
    <w:p w:rsidR="00D350A6" w:rsidRPr="00DC381B" w:rsidRDefault="00D350A6" w:rsidP="00DC381B">
      <w:pPr>
        <w:pStyle w:val="a8"/>
        <w:spacing w:line="276" w:lineRule="auto"/>
        <w:ind w:left="-284"/>
        <w:rPr>
          <w:rFonts w:asciiTheme="minorHAnsi" w:hAnsiTheme="minorHAnsi"/>
          <w:sz w:val="18"/>
          <w:szCs w:val="18"/>
        </w:rPr>
      </w:pPr>
      <w:r>
        <w:rPr>
          <w:rFonts w:ascii="David" w:hAnsi="David"/>
          <w:szCs w:val="24"/>
          <w:lang w:val="de-DE"/>
        </w:rPr>
        <w:t xml:space="preserve"> </w:t>
      </w:r>
    </w:p>
    <w:p w:rsidR="00D350A6" w:rsidRPr="00761733" w:rsidRDefault="00D350A6" w:rsidP="00DC381B">
      <w:pPr>
        <w:pStyle w:val="a8"/>
        <w:spacing w:line="276" w:lineRule="auto"/>
        <w:ind w:left="-284"/>
        <w:rPr>
          <w:rFonts w:ascii="David" w:hAnsi="David"/>
          <w:szCs w:val="24"/>
          <w:rtl/>
          <w:lang w:val="de-DE"/>
        </w:rPr>
      </w:pPr>
      <w:r>
        <w:rPr>
          <w:rFonts w:ascii="David" w:hAnsi="David"/>
          <w:szCs w:val="24"/>
          <w:lang w:val="de-DE"/>
        </w:rPr>
        <w:t xml:space="preserve">Robin </w:t>
      </w:r>
      <w:r w:rsidRPr="00761733">
        <w:rPr>
          <w:rFonts w:ascii="David" w:hAnsi="David"/>
          <w:szCs w:val="24"/>
          <w:lang w:val="de-DE"/>
        </w:rPr>
        <w:t xml:space="preserve">Allan, </w:t>
      </w:r>
      <w:r w:rsidRPr="00FD7CC1">
        <w:rPr>
          <w:rFonts w:ascii="David" w:hAnsi="David"/>
          <w:i/>
          <w:iCs/>
          <w:szCs w:val="24"/>
          <w:lang w:val="de-DE"/>
        </w:rPr>
        <w:t>Walt Disney and Europe: European</w:t>
      </w:r>
      <w:r w:rsidRPr="00761733">
        <w:rPr>
          <w:rFonts w:ascii="David" w:hAnsi="David"/>
          <w:i/>
          <w:iCs/>
          <w:szCs w:val="24"/>
          <w:lang w:val="de-DE"/>
        </w:rPr>
        <w:t xml:space="preserve"> Influences on </w:t>
      </w:r>
      <w:r>
        <w:rPr>
          <w:rFonts w:ascii="David" w:hAnsi="David"/>
          <w:i/>
          <w:iCs/>
          <w:szCs w:val="24"/>
          <w:lang w:val="de-DE"/>
        </w:rPr>
        <w:t xml:space="preserve">the Animated Feature Films of </w:t>
      </w:r>
      <w:r w:rsidRPr="00761733">
        <w:rPr>
          <w:rFonts w:ascii="David" w:hAnsi="David"/>
          <w:i/>
          <w:iCs/>
          <w:szCs w:val="24"/>
          <w:lang w:val="de-DE"/>
        </w:rPr>
        <w:t>Walt Disney</w:t>
      </w:r>
      <w:r>
        <w:rPr>
          <w:rFonts w:ascii="David" w:hAnsi="David"/>
          <w:szCs w:val="24"/>
          <w:lang w:val="de-DE"/>
        </w:rPr>
        <w:t xml:space="preserve"> (Bloomington: John Libbey Publishing, </w:t>
      </w:r>
      <w:r w:rsidRPr="00761733">
        <w:rPr>
          <w:rFonts w:ascii="David" w:hAnsi="David"/>
          <w:szCs w:val="24"/>
          <w:lang w:val="de-DE"/>
        </w:rPr>
        <w:t>1999).</w:t>
      </w:r>
    </w:p>
    <w:p w:rsidR="00D350A6" w:rsidRDefault="00D350A6" w:rsidP="00DC381B">
      <w:pPr>
        <w:pStyle w:val="a8"/>
        <w:spacing w:line="276" w:lineRule="auto"/>
        <w:ind w:left="-284"/>
        <w:rPr>
          <w:rFonts w:ascii="David" w:hAnsi="David"/>
          <w:szCs w:val="24"/>
        </w:rPr>
      </w:pPr>
    </w:p>
    <w:p w:rsidR="00D350A6" w:rsidRPr="00FD7CC1" w:rsidRDefault="00D350A6" w:rsidP="00DC381B">
      <w:pPr>
        <w:numPr>
          <w:ilvl w:val="0"/>
          <w:numId w:val="1"/>
        </w:numPr>
        <w:spacing w:after="160" w:line="276" w:lineRule="auto"/>
        <w:contextualSpacing/>
        <w:rPr>
          <w:rFonts w:ascii="David" w:hAnsi="David" w:cs="David"/>
          <w:b/>
          <w:bCs/>
          <w:lang w:val="de-DE"/>
        </w:rPr>
      </w:pPr>
      <w:r w:rsidRPr="00076869">
        <w:rPr>
          <w:rFonts w:ascii="David" w:hAnsi="David" w:cs="David"/>
          <w:b/>
          <w:bCs/>
          <w:rtl/>
        </w:rPr>
        <w:lastRenderedPageBreak/>
        <w:t>מקסמי שווא: "</w:t>
      </w:r>
      <w:proofErr w:type="spellStart"/>
      <w:r w:rsidRPr="00076869">
        <w:rPr>
          <w:rFonts w:ascii="David" w:hAnsi="David" w:cs="David"/>
          <w:b/>
          <w:bCs/>
          <w:rtl/>
        </w:rPr>
        <w:t>הניבלונגן</w:t>
      </w:r>
      <w:proofErr w:type="spellEnd"/>
      <w:r w:rsidRPr="00076869">
        <w:rPr>
          <w:rFonts w:ascii="David" w:hAnsi="David" w:cs="David"/>
          <w:b/>
          <w:bCs/>
          <w:rtl/>
        </w:rPr>
        <w:t xml:space="preserve">," סרטו של פריץ </w:t>
      </w:r>
      <w:proofErr w:type="spellStart"/>
      <w:r w:rsidRPr="00076869">
        <w:rPr>
          <w:rFonts w:ascii="David" w:hAnsi="David" w:cs="David"/>
          <w:b/>
          <w:bCs/>
          <w:rtl/>
        </w:rPr>
        <w:t>לאנג</w:t>
      </w:r>
      <w:proofErr w:type="spellEnd"/>
    </w:p>
    <w:p w:rsidR="00D350A6" w:rsidRDefault="00D350A6" w:rsidP="00DC381B">
      <w:pPr>
        <w:tabs>
          <w:tab w:val="left" w:pos="720"/>
        </w:tabs>
        <w:bidi w:val="0"/>
        <w:spacing w:line="276" w:lineRule="auto"/>
        <w:ind w:left="-357" w:right="357"/>
        <w:rPr>
          <w:rFonts w:ascii="David" w:hAnsi="David" w:cs="David"/>
        </w:rPr>
      </w:pPr>
      <w:r w:rsidRPr="00FD7CC1">
        <w:rPr>
          <w:rFonts w:ascii="David" w:hAnsi="David" w:cs="David"/>
          <w:lang w:val="de-DE"/>
        </w:rPr>
        <w:t>Da</w:t>
      </w:r>
      <w:r w:rsidRPr="00761733">
        <w:rPr>
          <w:rFonts w:ascii="David" w:hAnsi="David" w:cs="David"/>
        </w:rPr>
        <w:t>vid J.</w:t>
      </w:r>
      <w:r>
        <w:rPr>
          <w:rFonts w:ascii="David" w:hAnsi="David" w:cs="David"/>
        </w:rPr>
        <w:t xml:space="preserve"> </w:t>
      </w:r>
      <w:r w:rsidRPr="00FD7CC1">
        <w:rPr>
          <w:rFonts w:ascii="David" w:hAnsi="David" w:cs="David"/>
          <w:lang w:val="de-DE"/>
        </w:rPr>
        <w:t>Levin,</w:t>
      </w:r>
      <w:r w:rsidRPr="00761733">
        <w:rPr>
          <w:rFonts w:ascii="David" w:hAnsi="David" w:cs="David"/>
        </w:rPr>
        <w:t xml:space="preserve"> </w:t>
      </w:r>
      <w:r w:rsidRPr="00761733">
        <w:rPr>
          <w:rFonts w:ascii="David" w:hAnsi="David" w:cs="David"/>
          <w:i/>
          <w:iCs/>
        </w:rPr>
        <w:t>Richard Wagner, Fritz Land and the</w:t>
      </w:r>
      <w:r>
        <w:rPr>
          <w:rFonts w:ascii="David" w:hAnsi="David" w:cs="David"/>
          <w:i/>
          <w:iCs/>
        </w:rPr>
        <w:t xml:space="preserve"> Nibelungen. The Dramaturgy of </w:t>
      </w:r>
      <w:r w:rsidRPr="00761733">
        <w:rPr>
          <w:rFonts w:ascii="David" w:hAnsi="David" w:cs="David"/>
          <w:i/>
          <w:iCs/>
        </w:rPr>
        <w:t xml:space="preserve">Disavowal </w:t>
      </w:r>
      <w:r w:rsidRPr="00761733">
        <w:rPr>
          <w:rFonts w:ascii="David" w:hAnsi="David" w:cs="David"/>
        </w:rPr>
        <w:t>(</w:t>
      </w:r>
      <w:r w:rsidRPr="0019051A">
        <w:rPr>
          <w:rFonts w:ascii="David" w:hAnsi="David" w:cs="David"/>
        </w:rPr>
        <w:t>Princeton NJ:  Princeton University Press</w:t>
      </w:r>
      <w:r w:rsidRPr="00761733">
        <w:rPr>
          <w:rFonts w:ascii="David" w:hAnsi="David" w:cs="David"/>
        </w:rPr>
        <w:t>, 1998), 96</w:t>
      </w:r>
      <w:r>
        <w:rPr>
          <w:rFonts w:ascii="David" w:hAnsi="David" w:cs="David"/>
        </w:rPr>
        <w:t>–</w:t>
      </w:r>
      <w:r w:rsidRPr="00761733">
        <w:rPr>
          <w:rFonts w:ascii="David" w:hAnsi="David" w:cs="David"/>
        </w:rPr>
        <w:t>140.</w:t>
      </w:r>
    </w:p>
    <w:p w:rsidR="00D350A6" w:rsidRDefault="00D350A6" w:rsidP="00DC381B">
      <w:pPr>
        <w:tabs>
          <w:tab w:val="left" w:pos="720"/>
        </w:tabs>
        <w:bidi w:val="0"/>
        <w:spacing w:line="276" w:lineRule="auto"/>
        <w:ind w:left="-357" w:right="357"/>
        <w:rPr>
          <w:rFonts w:ascii="David" w:hAnsi="David" w:cs="David"/>
        </w:rPr>
      </w:pPr>
    </w:p>
    <w:p w:rsidR="00D350A6" w:rsidRPr="00FD7CC1" w:rsidRDefault="00D350A6" w:rsidP="00DC381B">
      <w:pPr>
        <w:tabs>
          <w:tab w:val="left" w:pos="720"/>
        </w:tabs>
        <w:bidi w:val="0"/>
        <w:spacing w:line="276" w:lineRule="auto"/>
        <w:ind w:left="-357" w:right="357"/>
        <w:rPr>
          <w:rFonts w:ascii="David" w:hAnsi="David" w:cs="David"/>
          <w:lang w:val="de-DE"/>
        </w:rPr>
      </w:pPr>
      <w:r>
        <w:rPr>
          <w:rFonts w:ascii="David" w:hAnsi="David" w:cs="David"/>
          <w:lang w:val="de-DE"/>
        </w:rPr>
        <w:t xml:space="preserve">Siegfried Kracauer, </w:t>
      </w:r>
      <w:r w:rsidRPr="00FD7CC1">
        <w:rPr>
          <w:rFonts w:ascii="David" w:hAnsi="David" w:cs="David"/>
          <w:i/>
          <w:iCs/>
          <w:lang w:val="de-DE"/>
        </w:rPr>
        <w:t xml:space="preserve">From Caligari to Hitler: </w:t>
      </w:r>
      <w:r>
        <w:rPr>
          <w:rFonts w:ascii="David" w:hAnsi="David" w:cs="David"/>
          <w:i/>
          <w:iCs/>
          <w:lang w:val="de-DE"/>
        </w:rPr>
        <w:t>A</w:t>
      </w:r>
      <w:r w:rsidRPr="00FD7CC1">
        <w:rPr>
          <w:rFonts w:ascii="David" w:hAnsi="David" w:cs="David"/>
          <w:i/>
          <w:iCs/>
          <w:lang w:val="de-DE"/>
        </w:rPr>
        <w:t xml:space="preserve"> Psych</w:t>
      </w:r>
      <w:r>
        <w:rPr>
          <w:rFonts w:ascii="David" w:hAnsi="David" w:cs="David"/>
          <w:i/>
          <w:iCs/>
          <w:lang w:val="de-DE"/>
        </w:rPr>
        <w:t xml:space="preserve">ological History of the German </w:t>
      </w:r>
      <w:r w:rsidRPr="00FD7CC1">
        <w:rPr>
          <w:rFonts w:ascii="David" w:hAnsi="David" w:cs="David"/>
          <w:i/>
          <w:iCs/>
          <w:lang w:val="de-DE"/>
        </w:rPr>
        <w:t>Film</w:t>
      </w:r>
      <w:r w:rsidR="00DC381B">
        <w:rPr>
          <w:rFonts w:ascii="David" w:hAnsi="David" w:cs="David"/>
          <w:lang w:val="de-DE"/>
        </w:rPr>
        <w:t xml:space="preserve"> </w:t>
      </w:r>
      <w:r w:rsidRPr="00FD7CC1">
        <w:rPr>
          <w:rFonts w:ascii="David" w:hAnsi="David" w:cs="David"/>
          <w:lang w:val="de-DE"/>
        </w:rPr>
        <w:t xml:space="preserve"> (Princeton</w:t>
      </w:r>
      <w:r>
        <w:rPr>
          <w:rFonts w:ascii="David" w:hAnsi="David" w:cs="David"/>
          <w:lang w:val="de-DE"/>
        </w:rPr>
        <w:t xml:space="preserve"> NJ: </w:t>
      </w:r>
      <w:r w:rsidRPr="00FD7CC1">
        <w:rPr>
          <w:rFonts w:ascii="David" w:hAnsi="David" w:cs="David"/>
          <w:lang w:val="de-DE"/>
        </w:rPr>
        <w:t xml:space="preserve"> </w:t>
      </w:r>
      <w:r w:rsidRPr="0019051A">
        <w:rPr>
          <w:rFonts w:ascii="David" w:hAnsi="David" w:cs="David"/>
          <w:lang w:val="de-DE"/>
        </w:rPr>
        <w:t>Princeton University Press</w:t>
      </w:r>
      <w:r>
        <w:rPr>
          <w:rFonts w:ascii="David" w:hAnsi="David" w:cs="David"/>
          <w:lang w:val="de-DE"/>
        </w:rPr>
        <w:t>,</w:t>
      </w:r>
      <w:r w:rsidRPr="0019051A">
        <w:rPr>
          <w:rFonts w:ascii="David" w:hAnsi="David" w:cs="David"/>
          <w:lang w:val="de-DE"/>
        </w:rPr>
        <w:t xml:space="preserve"> </w:t>
      </w:r>
      <w:r w:rsidRPr="00FD7CC1">
        <w:rPr>
          <w:rFonts w:ascii="David" w:hAnsi="David" w:cs="David"/>
          <w:lang w:val="de-DE"/>
        </w:rPr>
        <w:t xml:space="preserve">2004; 1958). </w:t>
      </w:r>
    </w:p>
    <w:p w:rsidR="00D350A6" w:rsidRPr="00DC381B" w:rsidRDefault="00D350A6" w:rsidP="00DC381B">
      <w:pPr>
        <w:spacing w:after="160" w:line="276" w:lineRule="auto"/>
        <w:rPr>
          <w:rFonts w:ascii="David" w:hAnsi="David" w:cs="David"/>
          <w:b/>
          <w:bCs/>
          <w:lang w:val="de-DE"/>
        </w:rPr>
      </w:pPr>
    </w:p>
    <w:p w:rsidR="00D350A6" w:rsidRDefault="00D350A6" w:rsidP="00DC381B">
      <w:pPr>
        <w:numPr>
          <w:ilvl w:val="0"/>
          <w:numId w:val="1"/>
        </w:numPr>
        <w:spacing w:after="160" w:line="276" w:lineRule="auto"/>
        <w:contextualSpacing/>
        <w:rPr>
          <w:rFonts w:ascii="David" w:hAnsi="David" w:cs="David"/>
          <w:b/>
          <w:bCs/>
        </w:rPr>
      </w:pPr>
      <w:r w:rsidRPr="00076869">
        <w:rPr>
          <w:rFonts w:ascii="David" w:hAnsi="David" w:cs="David"/>
          <w:b/>
          <w:bCs/>
          <w:rtl/>
        </w:rPr>
        <w:t>אפוקליפסה עכשיו: יום הדין האחרון בשערי הקתדרל</w:t>
      </w:r>
      <w:r>
        <w:rPr>
          <w:rFonts w:ascii="David" w:hAnsi="David" w:cs="David" w:hint="cs"/>
          <w:b/>
          <w:bCs/>
          <w:rtl/>
        </w:rPr>
        <w:t>ה</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rFonts w:ascii="David" w:hAnsi="David" w:cs="David"/>
          <w:sz w:val="24"/>
          <w:szCs w:val="24"/>
        </w:rPr>
      </w:pPr>
      <w:r w:rsidRPr="00761733">
        <w:rPr>
          <w:rFonts w:ascii="David" w:hAnsi="David" w:cs="David"/>
          <w:sz w:val="24"/>
          <w:szCs w:val="24"/>
        </w:rPr>
        <w:t xml:space="preserve">Bernd Nicolai, “Orders in Stone: Social Reality and Artistic Approach. The Case of </w:t>
      </w:r>
      <w:r>
        <w:rPr>
          <w:rFonts w:ascii="David" w:hAnsi="David" w:cs="David"/>
          <w:sz w:val="24"/>
          <w:szCs w:val="24"/>
        </w:rPr>
        <w:t xml:space="preserve">the </w:t>
      </w:r>
      <w:r w:rsidRPr="00761733">
        <w:rPr>
          <w:rFonts w:ascii="David" w:hAnsi="David" w:cs="David"/>
          <w:sz w:val="24"/>
          <w:szCs w:val="24"/>
        </w:rPr>
        <w:t xml:space="preserve">Strasbourg South Portal,” </w:t>
      </w:r>
      <w:proofErr w:type="spellStart"/>
      <w:r w:rsidRPr="00761733">
        <w:rPr>
          <w:rFonts w:ascii="David" w:hAnsi="David" w:cs="David"/>
          <w:i/>
          <w:iCs/>
          <w:sz w:val="24"/>
          <w:szCs w:val="24"/>
        </w:rPr>
        <w:t>Gesta</w:t>
      </w:r>
      <w:proofErr w:type="spellEnd"/>
      <w:r w:rsidRPr="00761733">
        <w:rPr>
          <w:rFonts w:ascii="David" w:hAnsi="David" w:cs="David"/>
          <w:i/>
          <w:iCs/>
          <w:sz w:val="24"/>
          <w:szCs w:val="24"/>
        </w:rPr>
        <w:t xml:space="preserve"> </w:t>
      </w:r>
      <w:r>
        <w:rPr>
          <w:rFonts w:ascii="David" w:hAnsi="David" w:cs="David"/>
          <w:sz w:val="24"/>
          <w:szCs w:val="24"/>
        </w:rPr>
        <w:t>41, no. 2 (2002)</w:t>
      </w:r>
      <w:r>
        <w:rPr>
          <w:rFonts w:ascii="David" w:hAnsi="David" w:cs="David" w:hint="cs"/>
          <w:sz w:val="24"/>
          <w:szCs w:val="24"/>
          <w:rtl/>
        </w:rPr>
        <w:t>:</w:t>
      </w:r>
      <w:r w:rsidRPr="00761733">
        <w:rPr>
          <w:rFonts w:ascii="David" w:hAnsi="David" w:cs="David"/>
          <w:sz w:val="24"/>
          <w:szCs w:val="24"/>
        </w:rPr>
        <w:t xml:space="preserve"> 111</w:t>
      </w:r>
      <w:r>
        <w:rPr>
          <w:rFonts w:ascii="David" w:hAnsi="David" w:cs="David"/>
          <w:sz w:val="24"/>
          <w:szCs w:val="24"/>
        </w:rPr>
        <w:t>–</w:t>
      </w:r>
      <w:r w:rsidRPr="00761733">
        <w:rPr>
          <w:rFonts w:ascii="David" w:hAnsi="David" w:cs="David"/>
          <w:sz w:val="24"/>
          <w:szCs w:val="24"/>
        </w:rPr>
        <w:t>28.</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rFonts w:ascii="David" w:hAnsi="David" w:cs="David"/>
          <w:sz w:val="24"/>
          <w:szCs w:val="24"/>
        </w:rPr>
      </w:pP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rFonts w:ascii="David" w:hAnsi="David" w:cs="David"/>
          <w:sz w:val="24"/>
          <w:szCs w:val="24"/>
        </w:rPr>
      </w:pPr>
      <w:r w:rsidRPr="0019051A">
        <w:rPr>
          <w:rFonts w:ascii="David" w:hAnsi="David" w:cs="David"/>
          <w:sz w:val="24"/>
          <w:szCs w:val="24"/>
        </w:rPr>
        <w:t>Assaf Pinkus, “Imaginative Responses to Gothic Sculpture: the Bamberg Rider,” </w:t>
      </w:r>
      <w:r w:rsidRPr="0019051A">
        <w:rPr>
          <w:rFonts w:ascii="David" w:hAnsi="David" w:cs="David"/>
          <w:i/>
          <w:iCs/>
          <w:sz w:val="24"/>
          <w:szCs w:val="24"/>
        </w:rPr>
        <w:t>Viator</w:t>
      </w:r>
      <w:r>
        <w:rPr>
          <w:rFonts w:ascii="David" w:hAnsi="David" w:cs="David"/>
          <w:sz w:val="24"/>
          <w:szCs w:val="24"/>
        </w:rPr>
        <w:t xml:space="preserve"> </w:t>
      </w:r>
      <w:r w:rsidRPr="0019051A">
        <w:rPr>
          <w:rFonts w:ascii="David" w:hAnsi="David" w:cs="David"/>
          <w:sz w:val="24"/>
          <w:szCs w:val="24"/>
        </w:rPr>
        <w:t xml:space="preserve">45, </w:t>
      </w:r>
      <w:r>
        <w:rPr>
          <w:rFonts w:ascii="David" w:hAnsi="David" w:cs="David"/>
          <w:sz w:val="24"/>
          <w:szCs w:val="24"/>
        </w:rPr>
        <w:t xml:space="preserve">no. 1 (2014): </w:t>
      </w:r>
      <w:r w:rsidRPr="0019051A">
        <w:rPr>
          <w:rFonts w:ascii="David" w:hAnsi="David" w:cs="David"/>
          <w:sz w:val="24"/>
          <w:szCs w:val="24"/>
        </w:rPr>
        <w:t>331</w:t>
      </w:r>
      <w:r>
        <w:rPr>
          <w:rFonts w:ascii="David" w:hAnsi="David" w:cs="David"/>
          <w:sz w:val="24"/>
          <w:szCs w:val="24"/>
        </w:rPr>
        <w:t>–</w:t>
      </w:r>
      <w:r w:rsidRPr="0019051A">
        <w:rPr>
          <w:rFonts w:ascii="David" w:hAnsi="David" w:cs="David"/>
          <w:sz w:val="24"/>
          <w:szCs w:val="24"/>
        </w:rPr>
        <w:t>60.</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rFonts w:ascii="David" w:hAnsi="David" w:cs="David"/>
          <w:sz w:val="24"/>
          <w:szCs w:val="24"/>
        </w:rPr>
      </w:pP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rStyle w:val="apple-style-span"/>
          <w:rFonts w:ascii="David" w:hAnsi="David" w:cs="David"/>
          <w:color w:val="000000"/>
          <w:sz w:val="24"/>
          <w:szCs w:val="24"/>
        </w:rPr>
      </w:pPr>
      <w:r w:rsidRPr="00761733">
        <w:rPr>
          <w:rFonts w:ascii="David" w:hAnsi="David" w:cs="David"/>
          <w:sz w:val="24"/>
          <w:szCs w:val="24"/>
        </w:rPr>
        <w:t xml:space="preserve">Nina Rowe, </w:t>
      </w:r>
      <w:r w:rsidRPr="00761733">
        <w:rPr>
          <w:rStyle w:val="apple-style-span"/>
          <w:rFonts w:ascii="David" w:hAnsi="David" w:cs="David"/>
          <w:color w:val="000000"/>
          <w:sz w:val="24"/>
          <w:szCs w:val="24"/>
        </w:rPr>
        <w:t xml:space="preserve">“Rethinking Ecclesia and </w:t>
      </w:r>
      <w:proofErr w:type="spellStart"/>
      <w:r w:rsidRPr="00761733">
        <w:rPr>
          <w:rStyle w:val="apple-style-span"/>
          <w:rFonts w:ascii="David" w:hAnsi="David" w:cs="David"/>
          <w:color w:val="000000"/>
          <w:sz w:val="24"/>
          <w:szCs w:val="24"/>
        </w:rPr>
        <w:t>Synagoga</w:t>
      </w:r>
      <w:proofErr w:type="spellEnd"/>
      <w:r w:rsidRPr="00761733">
        <w:rPr>
          <w:rStyle w:val="apple-style-span"/>
          <w:rFonts w:ascii="David" w:hAnsi="David" w:cs="David"/>
          <w:color w:val="000000"/>
          <w:sz w:val="24"/>
          <w:szCs w:val="24"/>
        </w:rPr>
        <w:t xml:space="preserve"> in the Thirteenth Century,” in Gothic,</w:t>
      </w:r>
      <w:r w:rsidRPr="00761733">
        <w:rPr>
          <w:rStyle w:val="apple-converted-space"/>
          <w:rFonts w:ascii="David" w:hAnsi="David" w:cs="David"/>
          <w:color w:val="000000"/>
          <w:sz w:val="24"/>
          <w:szCs w:val="24"/>
        </w:rPr>
        <w:t> </w:t>
      </w:r>
      <w:r w:rsidRPr="00761733">
        <w:rPr>
          <w:rStyle w:val="aa"/>
          <w:rFonts w:ascii="David" w:hAnsi="David" w:cs="David"/>
          <w:color w:val="000000"/>
          <w:sz w:val="24"/>
          <w:szCs w:val="24"/>
        </w:rPr>
        <w:t xml:space="preserve">Art &amp;Thought in the Later Medieval Period: Essays in Honor of Willibald </w:t>
      </w:r>
      <w:r w:rsidRPr="00761733">
        <w:rPr>
          <w:rStyle w:val="aa"/>
          <w:rFonts w:ascii="David" w:hAnsi="David" w:cs="David"/>
          <w:color w:val="000000"/>
          <w:sz w:val="24"/>
          <w:szCs w:val="24"/>
        </w:rPr>
        <w:tab/>
      </w:r>
      <w:proofErr w:type="spellStart"/>
      <w:r w:rsidRPr="00761733">
        <w:rPr>
          <w:rStyle w:val="aa"/>
          <w:rFonts w:ascii="David" w:hAnsi="David" w:cs="David"/>
          <w:color w:val="000000"/>
          <w:sz w:val="24"/>
          <w:szCs w:val="24"/>
        </w:rPr>
        <w:t>Sauerländer</w:t>
      </w:r>
      <w:proofErr w:type="spellEnd"/>
      <w:r w:rsidRPr="00761733">
        <w:rPr>
          <w:rStyle w:val="apple-style-span"/>
          <w:rFonts w:ascii="David" w:hAnsi="David" w:cs="David"/>
          <w:color w:val="000000"/>
          <w:sz w:val="24"/>
          <w:szCs w:val="24"/>
        </w:rPr>
        <w:t xml:space="preserve">, ed. Colum </w:t>
      </w:r>
      <w:proofErr w:type="spellStart"/>
      <w:r w:rsidRPr="00761733">
        <w:rPr>
          <w:rStyle w:val="apple-style-span"/>
          <w:rFonts w:ascii="David" w:hAnsi="David" w:cs="David"/>
          <w:color w:val="000000"/>
          <w:sz w:val="24"/>
          <w:szCs w:val="24"/>
        </w:rPr>
        <w:t>Hourihane</w:t>
      </w:r>
      <w:proofErr w:type="spellEnd"/>
      <w:r w:rsidRPr="00761733">
        <w:rPr>
          <w:rStyle w:val="apple-style-span"/>
          <w:rFonts w:ascii="David" w:hAnsi="David" w:cs="David"/>
          <w:color w:val="000000"/>
          <w:sz w:val="24"/>
          <w:szCs w:val="24"/>
        </w:rPr>
        <w:t xml:space="preserve"> (</w:t>
      </w:r>
      <w:r w:rsidRPr="00E731E2">
        <w:rPr>
          <w:rStyle w:val="apple-style-span"/>
          <w:rFonts w:ascii="David" w:hAnsi="David" w:cs="David"/>
          <w:color w:val="000000"/>
          <w:sz w:val="24"/>
          <w:szCs w:val="24"/>
        </w:rPr>
        <w:t xml:space="preserve">Princeton, </w:t>
      </w:r>
      <w:r>
        <w:rPr>
          <w:rStyle w:val="apple-style-span"/>
          <w:rFonts w:ascii="David" w:hAnsi="David" w:cs="David"/>
          <w:color w:val="000000"/>
          <w:sz w:val="24"/>
          <w:szCs w:val="24"/>
        </w:rPr>
        <w:t>NJ</w:t>
      </w:r>
      <w:r w:rsidRPr="00E731E2">
        <w:rPr>
          <w:rStyle w:val="apple-style-span"/>
          <w:rFonts w:ascii="David" w:hAnsi="David" w:cs="David"/>
          <w:color w:val="000000"/>
          <w:sz w:val="24"/>
          <w:szCs w:val="24"/>
        </w:rPr>
        <w:t>: Index of Christian Art</w:t>
      </w:r>
      <w:r w:rsidRPr="00761733">
        <w:rPr>
          <w:rStyle w:val="apple-style-span"/>
          <w:rFonts w:ascii="David" w:hAnsi="David" w:cs="David"/>
          <w:color w:val="000000"/>
          <w:sz w:val="24"/>
          <w:szCs w:val="24"/>
        </w:rPr>
        <w:t>, 2011), 264</w:t>
      </w:r>
      <w:r>
        <w:rPr>
          <w:rStyle w:val="apple-style-span"/>
          <w:rFonts w:ascii="David" w:hAnsi="David" w:cs="David"/>
          <w:color w:val="000000"/>
          <w:sz w:val="24"/>
          <w:szCs w:val="24"/>
        </w:rPr>
        <w:t>–</w:t>
      </w:r>
      <w:r w:rsidRPr="00761733">
        <w:rPr>
          <w:rStyle w:val="apple-style-span"/>
          <w:rFonts w:ascii="David" w:hAnsi="David" w:cs="David"/>
          <w:color w:val="000000"/>
          <w:sz w:val="24"/>
          <w:szCs w:val="24"/>
        </w:rPr>
        <w:t>91.</w:t>
      </w:r>
    </w:p>
    <w:p w:rsidR="00D350A6" w:rsidRPr="0019051A"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right="360"/>
        <w:rPr>
          <w:rFonts w:ascii="David" w:hAnsi="David" w:cs="David"/>
          <w:color w:val="000000"/>
          <w:sz w:val="24"/>
          <w:szCs w:val="24"/>
          <w:rtl/>
        </w:rPr>
      </w:pPr>
    </w:p>
    <w:p w:rsidR="00D350A6" w:rsidRDefault="00D350A6" w:rsidP="00DC381B">
      <w:pPr>
        <w:numPr>
          <w:ilvl w:val="0"/>
          <w:numId w:val="1"/>
        </w:numPr>
        <w:spacing w:after="160" w:line="276" w:lineRule="auto"/>
        <w:contextualSpacing/>
        <w:rPr>
          <w:rFonts w:ascii="David" w:hAnsi="David" w:cs="David"/>
          <w:b/>
          <w:bCs/>
        </w:rPr>
      </w:pPr>
      <w:proofErr w:type="spellStart"/>
      <w:r w:rsidRPr="00076869">
        <w:rPr>
          <w:rFonts w:ascii="David" w:hAnsi="David" w:cs="David"/>
          <w:b/>
          <w:bCs/>
          <w:rtl/>
        </w:rPr>
        <w:t>הפרלרים</w:t>
      </w:r>
      <w:proofErr w:type="spellEnd"/>
      <w:r w:rsidRPr="00076869">
        <w:rPr>
          <w:rFonts w:ascii="David" w:hAnsi="David" w:cs="David"/>
          <w:b/>
          <w:bCs/>
          <w:rtl/>
        </w:rPr>
        <w:t>: משפחת הבנאים שעיצבה את אירופה</w:t>
      </w:r>
    </w:p>
    <w:p w:rsidR="00DC381B" w:rsidRPr="00DC381B" w:rsidRDefault="00DC381B" w:rsidP="00DC381B">
      <w:pPr>
        <w:spacing w:after="160" w:line="276" w:lineRule="auto"/>
        <w:ind w:left="360"/>
        <w:contextualSpacing/>
        <w:rPr>
          <w:rFonts w:ascii="David" w:hAnsi="David" w:cs="David"/>
          <w:b/>
          <w:bCs/>
          <w:sz w:val="20"/>
          <w:szCs w:val="20"/>
        </w:rPr>
      </w:pPr>
    </w:p>
    <w:p w:rsidR="00D350A6" w:rsidRPr="00761733" w:rsidRDefault="00D350A6" w:rsidP="00DC381B">
      <w:pPr>
        <w:autoSpaceDE w:val="0"/>
        <w:autoSpaceDN w:val="0"/>
        <w:bidi w:val="0"/>
        <w:adjustRightInd w:val="0"/>
        <w:spacing w:line="276" w:lineRule="auto"/>
        <w:rPr>
          <w:rFonts w:ascii="David" w:eastAsia="TimesNewRomanPSMT" w:hAnsi="David" w:cs="David"/>
          <w:color w:val="000000"/>
        </w:rPr>
      </w:pPr>
      <w:r w:rsidRPr="00761733">
        <w:rPr>
          <w:rFonts w:ascii="David" w:eastAsia="TimesNewRomanPSMT" w:hAnsi="David" w:cs="David"/>
          <w:i/>
          <w:iCs/>
          <w:color w:val="000000"/>
        </w:rPr>
        <w:t xml:space="preserve">Die </w:t>
      </w:r>
      <w:proofErr w:type="spellStart"/>
      <w:r w:rsidRPr="00761733">
        <w:rPr>
          <w:rFonts w:ascii="David" w:eastAsia="TimesNewRomanPSMT" w:hAnsi="David" w:cs="David"/>
          <w:i/>
          <w:iCs/>
          <w:color w:val="000000"/>
        </w:rPr>
        <w:t>Parler</w:t>
      </w:r>
      <w:proofErr w:type="spellEnd"/>
      <w:r w:rsidRPr="00761733">
        <w:rPr>
          <w:rFonts w:ascii="David" w:eastAsia="TimesNewRomanPSMT" w:hAnsi="David" w:cs="David"/>
          <w:i/>
          <w:iCs/>
          <w:color w:val="000000"/>
        </w:rPr>
        <w:t xml:space="preserve"> und der </w:t>
      </w:r>
      <w:proofErr w:type="spellStart"/>
      <w:r w:rsidRPr="00761733">
        <w:rPr>
          <w:rFonts w:ascii="David" w:eastAsia="TimesNewRomanPSMT" w:hAnsi="David" w:cs="David"/>
          <w:i/>
          <w:iCs/>
          <w:color w:val="000000"/>
        </w:rPr>
        <w:t>Schöne</w:t>
      </w:r>
      <w:proofErr w:type="spellEnd"/>
      <w:r w:rsidRPr="00761733">
        <w:rPr>
          <w:rFonts w:ascii="David" w:eastAsia="TimesNewRomanPSMT" w:hAnsi="David" w:cs="David"/>
          <w:i/>
          <w:iCs/>
          <w:color w:val="000000"/>
        </w:rPr>
        <w:t xml:space="preserve"> </w:t>
      </w:r>
      <w:proofErr w:type="spellStart"/>
      <w:r w:rsidRPr="00761733">
        <w:rPr>
          <w:rFonts w:ascii="David" w:eastAsia="TimesNewRomanPSMT" w:hAnsi="David" w:cs="David"/>
          <w:i/>
          <w:iCs/>
          <w:color w:val="000000"/>
        </w:rPr>
        <w:t>Stil</w:t>
      </w:r>
      <w:proofErr w:type="spellEnd"/>
      <w:r w:rsidRPr="00761733">
        <w:rPr>
          <w:rFonts w:ascii="David" w:eastAsia="TimesNewRomanPSMT" w:hAnsi="David" w:cs="David"/>
          <w:i/>
          <w:iCs/>
          <w:color w:val="000000"/>
        </w:rPr>
        <w:t xml:space="preserve"> 1350-1400. </w:t>
      </w:r>
      <w:proofErr w:type="spellStart"/>
      <w:r w:rsidRPr="00761733">
        <w:rPr>
          <w:rFonts w:ascii="David" w:eastAsia="TimesNewRomanPSMT" w:hAnsi="David" w:cs="David"/>
          <w:i/>
          <w:iCs/>
          <w:color w:val="000000"/>
        </w:rPr>
        <w:t>Europäische</w:t>
      </w:r>
      <w:proofErr w:type="spellEnd"/>
      <w:r w:rsidRPr="00761733">
        <w:rPr>
          <w:rFonts w:ascii="David" w:eastAsia="TimesNewRomanPSMT" w:hAnsi="David" w:cs="David"/>
          <w:i/>
          <w:iCs/>
          <w:color w:val="000000"/>
        </w:rPr>
        <w:t xml:space="preserve"> </w:t>
      </w:r>
      <w:proofErr w:type="spellStart"/>
      <w:r w:rsidRPr="00761733">
        <w:rPr>
          <w:rFonts w:ascii="David" w:eastAsia="TimesNewRomanPSMT" w:hAnsi="David" w:cs="David"/>
          <w:i/>
          <w:iCs/>
          <w:color w:val="000000"/>
        </w:rPr>
        <w:t>Kunst</w:t>
      </w:r>
      <w:proofErr w:type="spellEnd"/>
      <w:r w:rsidRPr="00761733">
        <w:rPr>
          <w:rFonts w:ascii="David" w:eastAsia="TimesNewRomanPSMT" w:hAnsi="David" w:cs="David"/>
          <w:i/>
          <w:iCs/>
          <w:color w:val="000000"/>
        </w:rPr>
        <w:t xml:space="preserve"> </w:t>
      </w:r>
      <w:proofErr w:type="spellStart"/>
      <w:r w:rsidRPr="00761733">
        <w:rPr>
          <w:rFonts w:ascii="David" w:eastAsia="TimesNewRomanPSMT" w:hAnsi="David" w:cs="David"/>
          <w:i/>
          <w:iCs/>
          <w:color w:val="000000"/>
        </w:rPr>
        <w:t>unter</w:t>
      </w:r>
      <w:proofErr w:type="spellEnd"/>
      <w:r w:rsidRPr="00761733">
        <w:rPr>
          <w:rFonts w:ascii="David" w:eastAsia="TimesNewRomanPSMT" w:hAnsi="David" w:cs="David"/>
          <w:i/>
          <w:iCs/>
          <w:color w:val="000000"/>
        </w:rPr>
        <w:t xml:space="preserve"> den </w:t>
      </w:r>
      <w:proofErr w:type="spellStart"/>
      <w:r w:rsidRPr="00761733">
        <w:rPr>
          <w:rFonts w:ascii="David" w:eastAsia="TimesNewRomanPSMT" w:hAnsi="David" w:cs="David"/>
          <w:i/>
          <w:iCs/>
          <w:color w:val="000000"/>
        </w:rPr>
        <w:t>Luxemburgern</w:t>
      </w:r>
      <w:proofErr w:type="spellEnd"/>
      <w:r w:rsidRPr="00761733">
        <w:rPr>
          <w:rFonts w:ascii="David" w:eastAsia="TimesNewRomanPSMT" w:hAnsi="David" w:cs="David"/>
          <w:color w:val="000000"/>
        </w:rPr>
        <w:t xml:space="preserve">, </w:t>
      </w:r>
      <w:proofErr w:type="spellStart"/>
      <w:r w:rsidRPr="00761733">
        <w:rPr>
          <w:rFonts w:ascii="David" w:eastAsia="TimesNewRomanPSMT" w:hAnsi="David" w:cs="David"/>
          <w:color w:val="000000"/>
        </w:rPr>
        <w:t>exh</w:t>
      </w:r>
      <w:proofErr w:type="spellEnd"/>
      <w:r w:rsidRPr="00761733">
        <w:rPr>
          <w:rFonts w:ascii="David" w:eastAsia="TimesNewRomanPSMT" w:hAnsi="David" w:cs="David"/>
          <w:color w:val="000000"/>
        </w:rPr>
        <w:t>.</w:t>
      </w:r>
      <w:r>
        <w:rPr>
          <w:rFonts w:ascii="David" w:eastAsia="TimesNewRomanPSMT" w:hAnsi="David" w:cs="David"/>
          <w:color w:val="000000"/>
        </w:rPr>
        <w:t xml:space="preserve"> </w:t>
      </w:r>
      <w:r w:rsidRPr="00761733">
        <w:rPr>
          <w:rFonts w:ascii="David" w:eastAsia="TimesNewRomanPSMT" w:hAnsi="David" w:cs="David"/>
          <w:color w:val="000000"/>
        </w:rPr>
        <w:t xml:space="preserve">cat., ed. Anton </w:t>
      </w:r>
      <w:proofErr w:type="spellStart"/>
      <w:r w:rsidRPr="00761733">
        <w:rPr>
          <w:rFonts w:ascii="David" w:eastAsia="TimesNewRomanPSMT" w:hAnsi="David" w:cs="David"/>
          <w:color w:val="000000"/>
        </w:rPr>
        <w:t>Legner</w:t>
      </w:r>
      <w:proofErr w:type="spellEnd"/>
      <w:r w:rsidRPr="00761733">
        <w:rPr>
          <w:rFonts w:ascii="David" w:eastAsia="TimesNewRomanPSMT" w:hAnsi="David" w:cs="David"/>
          <w:color w:val="000000"/>
        </w:rPr>
        <w:t xml:space="preserve">, </w:t>
      </w:r>
      <w:proofErr w:type="spellStart"/>
      <w:r w:rsidRPr="00761733">
        <w:rPr>
          <w:rFonts w:ascii="David" w:eastAsia="TimesNewRomanPSMT" w:hAnsi="David" w:cs="David"/>
          <w:color w:val="000000"/>
        </w:rPr>
        <w:t>Schnüt</w:t>
      </w:r>
      <w:r>
        <w:rPr>
          <w:rFonts w:ascii="David" w:eastAsia="TimesNewRomanPSMT" w:hAnsi="David" w:cs="David"/>
          <w:color w:val="000000"/>
        </w:rPr>
        <w:t>gen</w:t>
      </w:r>
      <w:proofErr w:type="spellEnd"/>
      <w:r>
        <w:rPr>
          <w:rFonts w:ascii="David" w:eastAsia="TimesNewRomanPSMT" w:hAnsi="David" w:cs="David"/>
          <w:color w:val="000000"/>
        </w:rPr>
        <w:t xml:space="preserve">-Museum (Cologne: </w:t>
      </w:r>
      <w:proofErr w:type="spellStart"/>
      <w:r>
        <w:rPr>
          <w:iCs/>
          <w:color w:val="000000"/>
        </w:rPr>
        <w:t>Museen</w:t>
      </w:r>
      <w:proofErr w:type="spellEnd"/>
      <w:r>
        <w:rPr>
          <w:iCs/>
          <w:color w:val="000000"/>
        </w:rPr>
        <w:t xml:space="preserve"> der Stadt Köln</w:t>
      </w:r>
      <w:r>
        <w:rPr>
          <w:rFonts w:ascii="David" w:eastAsia="TimesNewRomanPSMT" w:hAnsi="David" w:cs="David"/>
          <w:color w:val="000000"/>
        </w:rPr>
        <w:t>, 1978), 5 vols.</w:t>
      </w:r>
    </w:p>
    <w:p w:rsidR="00D350A6" w:rsidRDefault="00D350A6" w:rsidP="00DC381B">
      <w:pPr>
        <w:autoSpaceDE w:val="0"/>
        <w:autoSpaceDN w:val="0"/>
        <w:bidi w:val="0"/>
        <w:adjustRightInd w:val="0"/>
        <w:spacing w:line="276" w:lineRule="auto"/>
        <w:rPr>
          <w:rFonts w:ascii="David" w:eastAsia="TimesNewRomanPSMT" w:hAnsi="David" w:cs="David"/>
          <w:color w:val="000000"/>
          <w:rtl/>
        </w:rPr>
      </w:pPr>
    </w:p>
    <w:p w:rsidR="00D350A6" w:rsidRDefault="00D350A6" w:rsidP="00DC381B">
      <w:pPr>
        <w:autoSpaceDE w:val="0"/>
        <w:autoSpaceDN w:val="0"/>
        <w:bidi w:val="0"/>
        <w:adjustRightInd w:val="0"/>
        <w:spacing w:line="276" w:lineRule="auto"/>
        <w:rPr>
          <w:rFonts w:ascii="David" w:eastAsia="TimesNewRomanPSMT" w:hAnsi="David" w:cs="David"/>
          <w:color w:val="000000"/>
        </w:rPr>
      </w:pPr>
      <w:r>
        <w:rPr>
          <w:rFonts w:ascii="David" w:eastAsia="TimesNewRomanPSMT" w:hAnsi="David" w:cs="David"/>
          <w:color w:val="000000"/>
        </w:rPr>
        <w:t xml:space="preserve">Norbert </w:t>
      </w:r>
      <w:r w:rsidRPr="00761733">
        <w:rPr>
          <w:rFonts w:ascii="David" w:eastAsia="TimesNewRomanPSMT" w:hAnsi="David" w:cs="David"/>
          <w:color w:val="000000"/>
        </w:rPr>
        <w:t xml:space="preserve">Nussbaum, </w:t>
      </w:r>
      <w:r w:rsidRPr="00761733">
        <w:rPr>
          <w:rFonts w:ascii="David" w:eastAsia="TimesNewRomanPSMT" w:hAnsi="David" w:cs="David"/>
          <w:i/>
          <w:iCs/>
          <w:color w:val="000000"/>
        </w:rPr>
        <w:t xml:space="preserve">German Gothic Church Architecture </w:t>
      </w:r>
      <w:r w:rsidRPr="00761733">
        <w:rPr>
          <w:rFonts w:ascii="David" w:eastAsia="TimesNewRomanPSMT" w:hAnsi="David" w:cs="David"/>
          <w:color w:val="000000"/>
        </w:rPr>
        <w:t>(</w:t>
      </w:r>
      <w:r>
        <w:rPr>
          <w:rFonts w:ascii="David" w:eastAsia="TimesNewRomanPSMT" w:hAnsi="David" w:cs="David"/>
          <w:color w:val="000000"/>
        </w:rPr>
        <w:t xml:space="preserve">New Haven: </w:t>
      </w:r>
      <w:r w:rsidRPr="00761733">
        <w:rPr>
          <w:rFonts w:ascii="David" w:eastAsia="TimesNewRomanPSMT" w:hAnsi="David" w:cs="David"/>
          <w:color w:val="000000"/>
        </w:rPr>
        <w:t>Yale, 2000), 111</w:t>
      </w:r>
      <w:r>
        <w:rPr>
          <w:rFonts w:ascii="David" w:eastAsia="TimesNewRomanPSMT" w:hAnsi="David" w:cs="David"/>
          <w:color w:val="000000"/>
        </w:rPr>
        <w:t>–</w:t>
      </w:r>
      <w:r w:rsidRPr="00761733">
        <w:rPr>
          <w:rFonts w:ascii="David" w:eastAsia="TimesNewRomanPSMT" w:hAnsi="David" w:cs="David"/>
          <w:color w:val="000000"/>
        </w:rPr>
        <w:t>36</w:t>
      </w:r>
      <w:r>
        <w:rPr>
          <w:rFonts w:ascii="David" w:eastAsia="TimesNewRomanPSMT" w:hAnsi="David" w:cs="David"/>
          <w:color w:val="000000"/>
        </w:rPr>
        <w:t>.</w:t>
      </w:r>
    </w:p>
    <w:p w:rsidR="00D350A6" w:rsidRDefault="00D350A6" w:rsidP="00DC381B">
      <w:pPr>
        <w:autoSpaceDE w:val="0"/>
        <w:autoSpaceDN w:val="0"/>
        <w:bidi w:val="0"/>
        <w:adjustRightInd w:val="0"/>
        <w:spacing w:line="276" w:lineRule="auto"/>
        <w:rPr>
          <w:rFonts w:ascii="David" w:eastAsia="TimesNewRomanPSMT" w:hAnsi="David" w:cs="David"/>
          <w:color w:val="000000"/>
          <w:rtl/>
        </w:rPr>
      </w:pPr>
    </w:p>
    <w:p w:rsidR="00D350A6" w:rsidRDefault="00D350A6" w:rsidP="00DC381B">
      <w:pPr>
        <w:autoSpaceDE w:val="0"/>
        <w:autoSpaceDN w:val="0"/>
        <w:bidi w:val="0"/>
        <w:adjustRightInd w:val="0"/>
        <w:spacing w:line="276" w:lineRule="auto"/>
        <w:rPr>
          <w:rFonts w:ascii="David" w:eastAsia="TimesNewRomanPSMT" w:hAnsi="David" w:cs="David"/>
          <w:color w:val="000000"/>
        </w:rPr>
      </w:pPr>
      <w:r>
        <w:rPr>
          <w:rFonts w:ascii="David" w:eastAsia="TimesNewRomanPSMT" w:hAnsi="David" w:cs="David"/>
          <w:color w:val="000000"/>
        </w:rPr>
        <w:t xml:space="preserve">Assaf </w:t>
      </w:r>
      <w:r w:rsidRPr="00761733">
        <w:rPr>
          <w:rFonts w:ascii="David" w:eastAsia="TimesNewRomanPSMT" w:hAnsi="David" w:cs="David"/>
          <w:color w:val="000000"/>
        </w:rPr>
        <w:t xml:space="preserve">Pinkus, </w:t>
      </w:r>
      <w:r w:rsidRPr="00761733">
        <w:rPr>
          <w:rFonts w:ascii="David" w:eastAsia="TimesNewRomanPSMT" w:hAnsi="David" w:cs="David"/>
          <w:i/>
          <w:iCs/>
          <w:color w:val="000000"/>
        </w:rPr>
        <w:t xml:space="preserve">Patrons and Narrative of the </w:t>
      </w:r>
      <w:proofErr w:type="spellStart"/>
      <w:r w:rsidRPr="00761733">
        <w:rPr>
          <w:rFonts w:ascii="David" w:eastAsia="TimesNewRomanPSMT" w:hAnsi="David" w:cs="David"/>
          <w:i/>
          <w:iCs/>
          <w:color w:val="000000"/>
        </w:rPr>
        <w:t>Parler</w:t>
      </w:r>
      <w:proofErr w:type="spellEnd"/>
      <w:r w:rsidRPr="00761733">
        <w:rPr>
          <w:rFonts w:ascii="David" w:eastAsia="TimesNewRomanPSMT" w:hAnsi="David" w:cs="David"/>
          <w:i/>
          <w:iCs/>
          <w:color w:val="000000"/>
        </w:rPr>
        <w:t xml:space="preserve"> School. The Marian Tympana 1350-1400</w:t>
      </w:r>
      <w:r>
        <w:rPr>
          <w:rFonts w:ascii="David" w:eastAsia="TimesNewRomanPSMT" w:hAnsi="David" w:cs="David"/>
          <w:i/>
          <w:iCs/>
          <w:color w:val="000000"/>
        </w:rPr>
        <w:t xml:space="preserve"> </w:t>
      </w:r>
      <w:r w:rsidRPr="00761733">
        <w:rPr>
          <w:rFonts w:ascii="David" w:eastAsia="TimesNewRomanPSMT" w:hAnsi="David" w:cs="David"/>
          <w:color w:val="000000"/>
        </w:rPr>
        <w:t>(Berlin</w:t>
      </w:r>
      <w:r>
        <w:rPr>
          <w:rFonts w:ascii="David" w:eastAsia="TimesNewRomanPSMT" w:hAnsi="David" w:cs="David"/>
          <w:color w:val="000000"/>
        </w:rPr>
        <w:t xml:space="preserve">: </w:t>
      </w:r>
      <w:proofErr w:type="spellStart"/>
      <w:r>
        <w:rPr>
          <w:rFonts w:ascii="David" w:eastAsia="TimesNewRomanPSMT" w:hAnsi="David" w:cs="David"/>
          <w:color w:val="000000"/>
        </w:rPr>
        <w:t>Deutscher</w:t>
      </w:r>
      <w:proofErr w:type="spellEnd"/>
      <w:r>
        <w:rPr>
          <w:rFonts w:ascii="David" w:eastAsia="TimesNewRomanPSMT" w:hAnsi="David" w:cs="David"/>
          <w:color w:val="000000"/>
        </w:rPr>
        <w:t xml:space="preserve"> </w:t>
      </w:r>
      <w:proofErr w:type="spellStart"/>
      <w:r>
        <w:rPr>
          <w:rFonts w:ascii="David" w:eastAsia="TimesNewRomanPSMT" w:hAnsi="David" w:cs="David"/>
          <w:color w:val="000000"/>
        </w:rPr>
        <w:t>Kunstverlag</w:t>
      </w:r>
      <w:proofErr w:type="spellEnd"/>
      <w:r w:rsidRPr="00761733">
        <w:rPr>
          <w:rFonts w:ascii="David" w:eastAsia="TimesNewRomanPSMT" w:hAnsi="David" w:cs="David"/>
          <w:color w:val="000000"/>
        </w:rPr>
        <w:t>, 2008).</w:t>
      </w:r>
    </w:p>
    <w:p w:rsidR="00D350A6" w:rsidRDefault="00D350A6" w:rsidP="00DC381B">
      <w:pPr>
        <w:autoSpaceDE w:val="0"/>
        <w:autoSpaceDN w:val="0"/>
        <w:bidi w:val="0"/>
        <w:adjustRightInd w:val="0"/>
        <w:spacing w:line="276" w:lineRule="auto"/>
        <w:rPr>
          <w:rFonts w:ascii="David" w:eastAsia="TimesNewRomanPSMT" w:hAnsi="David" w:cs="David"/>
          <w:color w:val="000000"/>
        </w:rPr>
      </w:pPr>
    </w:p>
    <w:p w:rsidR="00D350A6" w:rsidRPr="00076869" w:rsidRDefault="00D350A6" w:rsidP="00DC381B">
      <w:pPr>
        <w:numPr>
          <w:ilvl w:val="0"/>
          <w:numId w:val="1"/>
        </w:numPr>
        <w:spacing w:after="160" w:line="276" w:lineRule="auto"/>
        <w:contextualSpacing/>
        <w:rPr>
          <w:rFonts w:ascii="David" w:hAnsi="David" w:cs="David"/>
          <w:b/>
          <w:bCs/>
        </w:rPr>
      </w:pPr>
      <w:r w:rsidRPr="00076869">
        <w:rPr>
          <w:rFonts w:ascii="David" w:hAnsi="David" w:cs="David"/>
          <w:b/>
          <w:bCs/>
          <w:rtl/>
        </w:rPr>
        <w:t>בין שתי ערים: עלייתן של פראג ווינה, הבירות של המאה ה-14</w:t>
      </w: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r w:rsidRPr="00761733">
        <w:rPr>
          <w:rFonts w:ascii="David" w:hAnsi="David" w:cs="David"/>
          <w:sz w:val="24"/>
          <w:szCs w:val="24"/>
        </w:rPr>
        <w:t xml:space="preserve">Albert </w:t>
      </w:r>
      <w:proofErr w:type="spellStart"/>
      <w:r w:rsidRPr="00761733">
        <w:rPr>
          <w:rFonts w:ascii="David" w:hAnsi="David" w:cs="David"/>
          <w:sz w:val="24"/>
          <w:szCs w:val="24"/>
        </w:rPr>
        <w:t>Kutal</w:t>
      </w:r>
      <w:proofErr w:type="spellEnd"/>
      <w:r w:rsidRPr="00761733">
        <w:rPr>
          <w:rFonts w:ascii="David" w:hAnsi="David" w:cs="David"/>
          <w:sz w:val="24"/>
          <w:szCs w:val="24"/>
        </w:rPr>
        <w:t xml:space="preserve">, </w:t>
      </w:r>
      <w:r w:rsidRPr="00761733">
        <w:rPr>
          <w:rFonts w:ascii="David" w:hAnsi="David" w:cs="David"/>
          <w:i/>
          <w:iCs/>
          <w:sz w:val="24"/>
          <w:szCs w:val="24"/>
        </w:rPr>
        <w:t>Gothic Art in Bohemia and Moravia</w:t>
      </w:r>
      <w:r w:rsidRPr="00761733">
        <w:rPr>
          <w:rFonts w:ascii="David" w:hAnsi="David" w:cs="David"/>
          <w:sz w:val="24"/>
          <w:szCs w:val="24"/>
        </w:rPr>
        <w:t xml:space="preserve"> (</w:t>
      </w:r>
      <w:r>
        <w:rPr>
          <w:rFonts w:ascii="David" w:hAnsi="David" w:cs="David"/>
          <w:sz w:val="24"/>
          <w:szCs w:val="24"/>
        </w:rPr>
        <w:t>London: Hamlyn</w:t>
      </w:r>
      <w:r w:rsidRPr="00761733">
        <w:rPr>
          <w:rFonts w:ascii="David" w:hAnsi="David" w:cs="David"/>
          <w:sz w:val="24"/>
          <w:szCs w:val="24"/>
        </w:rPr>
        <w:t>, 1971), 49</w:t>
      </w:r>
      <w:r>
        <w:rPr>
          <w:rFonts w:ascii="David" w:hAnsi="David" w:cs="David"/>
          <w:sz w:val="24"/>
          <w:szCs w:val="24"/>
        </w:rPr>
        <w:t>–</w:t>
      </w:r>
      <w:r w:rsidRPr="00761733">
        <w:rPr>
          <w:rFonts w:ascii="David" w:hAnsi="David" w:cs="David"/>
          <w:sz w:val="24"/>
          <w:szCs w:val="24"/>
        </w:rPr>
        <w:t>106.</w:t>
      </w:r>
    </w:p>
    <w:p w:rsidR="00D350A6" w:rsidRPr="00761733"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p>
    <w:p w:rsidR="00D350A6" w:rsidRPr="00761733"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proofErr w:type="spellStart"/>
      <w:r w:rsidRPr="00761733">
        <w:rPr>
          <w:rFonts w:ascii="David" w:hAnsi="David" w:cs="David"/>
          <w:sz w:val="24"/>
          <w:szCs w:val="24"/>
        </w:rPr>
        <w:t>Klára</w:t>
      </w:r>
      <w:proofErr w:type="spellEnd"/>
      <w:r w:rsidRPr="00761733">
        <w:rPr>
          <w:rFonts w:ascii="David" w:hAnsi="David" w:cs="David"/>
          <w:sz w:val="24"/>
          <w:szCs w:val="24"/>
        </w:rPr>
        <w:t xml:space="preserve"> </w:t>
      </w:r>
      <w:proofErr w:type="spellStart"/>
      <w:r w:rsidRPr="00761733">
        <w:rPr>
          <w:rFonts w:ascii="David" w:hAnsi="David" w:cs="David"/>
          <w:sz w:val="24"/>
          <w:szCs w:val="24"/>
        </w:rPr>
        <w:t>Benes</w:t>
      </w:r>
      <w:r w:rsidRPr="00761733">
        <w:rPr>
          <w:rFonts w:ascii="Calibri" w:hAnsi="Calibri" w:cs="Calibri"/>
          <w:sz w:val="24"/>
          <w:szCs w:val="24"/>
        </w:rPr>
        <w:t>ŏ</w:t>
      </w:r>
      <w:r w:rsidRPr="00761733">
        <w:rPr>
          <w:rFonts w:ascii="David" w:hAnsi="David" w:cs="David"/>
          <w:sz w:val="24"/>
          <w:szCs w:val="24"/>
        </w:rPr>
        <w:t>vská</w:t>
      </w:r>
      <w:proofErr w:type="spellEnd"/>
      <w:r w:rsidRPr="00761733">
        <w:rPr>
          <w:rFonts w:ascii="David" w:hAnsi="David" w:cs="David"/>
          <w:sz w:val="24"/>
          <w:szCs w:val="24"/>
        </w:rPr>
        <w:t xml:space="preserve"> and Ivo </w:t>
      </w:r>
      <w:proofErr w:type="spellStart"/>
      <w:r w:rsidRPr="00761733">
        <w:rPr>
          <w:rFonts w:ascii="David" w:hAnsi="David" w:cs="David"/>
          <w:sz w:val="24"/>
          <w:szCs w:val="24"/>
        </w:rPr>
        <w:t>Hlobil</w:t>
      </w:r>
      <w:proofErr w:type="spellEnd"/>
      <w:r w:rsidRPr="00761733">
        <w:rPr>
          <w:rFonts w:ascii="David" w:hAnsi="David" w:cs="David"/>
          <w:sz w:val="24"/>
          <w:szCs w:val="24"/>
        </w:rPr>
        <w:t xml:space="preserve">, </w:t>
      </w:r>
      <w:r w:rsidRPr="00761733">
        <w:rPr>
          <w:rFonts w:ascii="David" w:hAnsi="David" w:cs="David"/>
          <w:i/>
          <w:iCs/>
          <w:sz w:val="24"/>
          <w:szCs w:val="24"/>
        </w:rPr>
        <w:t xml:space="preserve">Peter </w:t>
      </w:r>
      <w:proofErr w:type="spellStart"/>
      <w:r w:rsidRPr="00761733">
        <w:rPr>
          <w:rFonts w:ascii="David" w:hAnsi="David" w:cs="David"/>
          <w:i/>
          <w:iCs/>
          <w:sz w:val="24"/>
          <w:szCs w:val="24"/>
        </w:rPr>
        <w:t>Parler</w:t>
      </w:r>
      <w:proofErr w:type="spellEnd"/>
      <w:r w:rsidRPr="00761733">
        <w:rPr>
          <w:rFonts w:ascii="David" w:hAnsi="David" w:cs="David"/>
          <w:i/>
          <w:iCs/>
          <w:sz w:val="24"/>
          <w:szCs w:val="24"/>
        </w:rPr>
        <w:t xml:space="preserve"> &amp; St Vitus’s Cathedral 1356-</w:t>
      </w:r>
      <w:proofErr w:type="gramStart"/>
      <w:r w:rsidRPr="00761733">
        <w:rPr>
          <w:rFonts w:ascii="David" w:hAnsi="David" w:cs="David"/>
          <w:i/>
          <w:iCs/>
          <w:sz w:val="24"/>
          <w:szCs w:val="24"/>
        </w:rPr>
        <w:t>1399</w:t>
      </w:r>
      <w:r>
        <w:rPr>
          <w:rFonts w:ascii="David" w:hAnsi="David" w:cs="David"/>
          <w:sz w:val="24"/>
          <w:szCs w:val="24"/>
        </w:rPr>
        <w:t xml:space="preserve">  (</w:t>
      </w:r>
      <w:proofErr w:type="gramEnd"/>
      <w:r>
        <w:rPr>
          <w:rFonts w:ascii="David" w:hAnsi="David" w:cs="David"/>
          <w:sz w:val="24"/>
          <w:szCs w:val="24"/>
        </w:rPr>
        <w:t>Prague:</w:t>
      </w:r>
      <w:r w:rsidRPr="00E731E2">
        <w:rPr>
          <w:rFonts w:ascii="David" w:hAnsi="David" w:cs="David"/>
          <w:sz w:val="24"/>
          <w:szCs w:val="24"/>
        </w:rPr>
        <w:t xml:space="preserve"> Prague Castle Administration, 1999</w:t>
      </w:r>
      <w:r w:rsidRPr="00761733">
        <w:rPr>
          <w:rFonts w:ascii="David" w:hAnsi="David" w:cs="David"/>
          <w:sz w:val="24"/>
          <w:szCs w:val="24"/>
        </w:rPr>
        <w:t>), 7</w:t>
      </w:r>
      <w:r>
        <w:rPr>
          <w:rFonts w:ascii="David" w:hAnsi="David" w:cs="David"/>
          <w:sz w:val="24"/>
          <w:szCs w:val="24"/>
        </w:rPr>
        <w:t>–</w:t>
      </w:r>
      <w:r w:rsidRPr="00761733">
        <w:rPr>
          <w:rFonts w:ascii="David" w:hAnsi="David" w:cs="David"/>
          <w:sz w:val="24"/>
          <w:szCs w:val="24"/>
        </w:rPr>
        <w:t>22.</w:t>
      </w: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r w:rsidRPr="00761733">
        <w:rPr>
          <w:rFonts w:ascii="David" w:hAnsi="David" w:cs="David"/>
          <w:sz w:val="24"/>
          <w:szCs w:val="24"/>
        </w:rPr>
        <w:t xml:space="preserve">Iva Rosario, </w:t>
      </w:r>
      <w:r w:rsidRPr="00761733">
        <w:rPr>
          <w:rFonts w:ascii="David" w:hAnsi="David" w:cs="David"/>
          <w:i/>
          <w:iCs/>
          <w:sz w:val="24"/>
          <w:szCs w:val="24"/>
        </w:rPr>
        <w:t xml:space="preserve">Art and Propaganda: Charles </w:t>
      </w:r>
      <w:r>
        <w:rPr>
          <w:rFonts w:ascii="David" w:hAnsi="David" w:cs="David"/>
          <w:i/>
          <w:iCs/>
          <w:sz w:val="24"/>
          <w:szCs w:val="24"/>
        </w:rPr>
        <w:t>IV</w:t>
      </w:r>
      <w:r w:rsidRPr="00761733">
        <w:rPr>
          <w:rFonts w:ascii="David" w:hAnsi="David" w:cs="David"/>
          <w:i/>
          <w:iCs/>
          <w:sz w:val="24"/>
          <w:szCs w:val="24"/>
        </w:rPr>
        <w:t xml:space="preserve"> of Bohemia 1346-1378</w:t>
      </w:r>
      <w:r>
        <w:rPr>
          <w:rFonts w:ascii="David" w:hAnsi="David" w:cs="David"/>
          <w:sz w:val="24"/>
          <w:szCs w:val="24"/>
        </w:rPr>
        <w:t xml:space="preserve"> (Suffolk: </w:t>
      </w:r>
      <w:r w:rsidRPr="004C487C">
        <w:rPr>
          <w:rFonts w:ascii="David" w:hAnsi="David" w:cs="David"/>
          <w:sz w:val="24"/>
          <w:szCs w:val="24"/>
        </w:rPr>
        <w:t>Boydell Press</w:t>
      </w:r>
      <w:r>
        <w:rPr>
          <w:rFonts w:ascii="David" w:hAnsi="David" w:cs="David"/>
          <w:sz w:val="24"/>
          <w:szCs w:val="24"/>
        </w:rPr>
        <w:t xml:space="preserve">, 2000), </w:t>
      </w:r>
      <w:r w:rsidRPr="00761733">
        <w:rPr>
          <w:rFonts w:ascii="David" w:hAnsi="David" w:cs="David"/>
          <w:sz w:val="24"/>
          <w:szCs w:val="24"/>
        </w:rPr>
        <w:t>1</w:t>
      </w:r>
      <w:r>
        <w:rPr>
          <w:rFonts w:ascii="David" w:hAnsi="David" w:cs="David"/>
          <w:sz w:val="24"/>
          <w:szCs w:val="24"/>
        </w:rPr>
        <w:t>–</w:t>
      </w:r>
      <w:r w:rsidRPr="00761733">
        <w:rPr>
          <w:rFonts w:ascii="David" w:hAnsi="David" w:cs="David"/>
          <w:sz w:val="24"/>
          <w:szCs w:val="24"/>
        </w:rPr>
        <w:t>19,</w:t>
      </w:r>
      <w:r w:rsidRPr="00761733">
        <w:rPr>
          <w:rFonts w:ascii="David" w:hAnsi="David" w:cs="David"/>
          <w:sz w:val="24"/>
          <w:szCs w:val="24"/>
          <w:rtl/>
        </w:rPr>
        <w:t xml:space="preserve"> </w:t>
      </w:r>
      <w:r w:rsidRPr="00761733">
        <w:rPr>
          <w:rFonts w:ascii="David" w:hAnsi="David" w:cs="David"/>
          <w:sz w:val="24"/>
          <w:szCs w:val="24"/>
        </w:rPr>
        <w:t>27</w:t>
      </w:r>
      <w:r>
        <w:rPr>
          <w:rFonts w:ascii="David" w:hAnsi="David" w:cs="David"/>
          <w:sz w:val="24"/>
          <w:szCs w:val="24"/>
        </w:rPr>
        <w:t>–</w:t>
      </w:r>
      <w:r w:rsidRPr="00761733">
        <w:rPr>
          <w:rFonts w:ascii="David" w:hAnsi="David" w:cs="David"/>
          <w:sz w:val="24"/>
          <w:szCs w:val="24"/>
        </w:rPr>
        <w:t>40.</w:t>
      </w:r>
    </w:p>
    <w:p w:rsidR="00D350A6" w:rsidRPr="00DC381B"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Theme="minorHAnsi" w:hAnsiTheme="minorHAnsi" w:cs="David"/>
          <w:sz w:val="24"/>
          <w:szCs w:val="24"/>
          <w:rtl/>
        </w:rPr>
      </w:pPr>
    </w:p>
    <w:p w:rsidR="00D350A6" w:rsidRPr="00761733" w:rsidRDefault="00D350A6" w:rsidP="00DC381B">
      <w:pPr>
        <w:numPr>
          <w:ilvl w:val="0"/>
          <w:numId w:val="1"/>
        </w:numPr>
        <w:spacing w:line="276" w:lineRule="auto"/>
        <w:rPr>
          <w:rFonts w:ascii="David" w:hAnsi="David" w:cs="David"/>
          <w:b/>
          <w:bCs/>
        </w:rPr>
      </w:pPr>
      <w:r w:rsidRPr="00761733">
        <w:rPr>
          <w:rFonts w:ascii="David" w:hAnsi="David" w:cs="David"/>
          <w:b/>
          <w:bCs/>
          <w:rtl/>
        </w:rPr>
        <w:t>מגדלים פורחים בא</w:t>
      </w:r>
      <w:r>
        <w:rPr>
          <w:rFonts w:ascii="David" w:hAnsi="David" w:cs="David" w:hint="cs"/>
          <w:b/>
          <w:bCs/>
          <w:rtl/>
        </w:rPr>
        <w:t>ו</w:t>
      </w:r>
      <w:r w:rsidRPr="00761733">
        <w:rPr>
          <w:rFonts w:ascii="David" w:hAnsi="David" w:cs="David"/>
          <w:b/>
          <w:bCs/>
          <w:rtl/>
        </w:rPr>
        <w:t xml:space="preserve">ויר: </w:t>
      </w:r>
      <w:r>
        <w:rPr>
          <w:rFonts w:ascii="David" w:hAnsi="David" w:cs="David" w:hint="cs"/>
          <w:b/>
          <w:bCs/>
          <w:rtl/>
        </w:rPr>
        <w:t xml:space="preserve">מה </w:t>
      </w:r>
      <w:r w:rsidRPr="00761733">
        <w:rPr>
          <w:rFonts w:ascii="David" w:hAnsi="David" w:cs="David"/>
          <w:b/>
          <w:bCs/>
          <w:rtl/>
        </w:rPr>
        <w:t>בין הקתדרלות של אירופה ומנהטן</w:t>
      </w:r>
      <w:r>
        <w:rPr>
          <w:rFonts w:ascii="David" w:hAnsi="David" w:cs="David" w:hint="cs"/>
          <w:b/>
          <w:bCs/>
          <w:rtl/>
        </w:rPr>
        <w:t>?</w:t>
      </w:r>
    </w:p>
    <w:p w:rsidR="00D350A6" w:rsidRPr="00AE4872"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bidi/>
        <w:spacing w:line="276" w:lineRule="auto"/>
        <w:ind w:left="720" w:right="360"/>
        <w:rPr>
          <w:rFonts w:ascii="David" w:hAnsi="David" w:cs="David"/>
          <w:noProof/>
          <w:sz w:val="24"/>
          <w:szCs w:val="24"/>
          <w:rtl/>
        </w:rPr>
      </w:pPr>
      <w:r>
        <w:rPr>
          <w:rFonts w:ascii="David" w:hAnsi="David" w:cs="David" w:hint="cs"/>
          <w:noProof/>
          <w:sz w:val="24"/>
          <w:szCs w:val="24"/>
          <w:rtl/>
        </w:rPr>
        <w:t xml:space="preserve">אסף פינקוס, מגדלים פורחים באווירת״ </w:t>
      </w:r>
      <w:r w:rsidRPr="00AE4872">
        <w:rPr>
          <w:rFonts w:ascii="David" w:hAnsi="David" w:cs="David" w:hint="cs"/>
          <w:noProof/>
          <w:sz w:val="24"/>
          <w:szCs w:val="24"/>
          <w:u w:val="single"/>
          <w:rtl/>
        </w:rPr>
        <w:t>בבל</w:t>
      </w:r>
      <w:r>
        <w:rPr>
          <w:rFonts w:ascii="David" w:hAnsi="David" w:cs="David" w:hint="cs"/>
          <w:noProof/>
          <w:sz w:val="24"/>
          <w:szCs w:val="24"/>
          <w:rtl/>
        </w:rPr>
        <w:t xml:space="preserve">, בעריכת שרית שפירא </w:t>
      </w:r>
      <w:r w:rsidRPr="00AE4872">
        <w:rPr>
          <w:rFonts w:ascii="David" w:hAnsi="David" w:cs="David"/>
          <w:noProof/>
          <w:sz w:val="24"/>
          <w:szCs w:val="24"/>
          <w:rtl/>
        </w:rPr>
        <w:t>(תל אביב: הגלריה האוניברסיטאית 2014), 137-152.</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noProof/>
          <w:sz w:val="24"/>
          <w:szCs w:val="24"/>
        </w:rPr>
      </w:pP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noProof/>
          <w:sz w:val="24"/>
          <w:szCs w:val="24"/>
        </w:rPr>
      </w:pPr>
      <w:r w:rsidRPr="00761733">
        <w:rPr>
          <w:rFonts w:ascii="David" w:hAnsi="David" w:cs="David"/>
          <w:sz w:val="24"/>
          <w:szCs w:val="24"/>
        </w:rPr>
        <w:t xml:space="preserve">Robert Bork, “Into Thin Air: France, Germany, and the Invention of the Openwork </w:t>
      </w:r>
      <w:r w:rsidRPr="00761733">
        <w:rPr>
          <w:rFonts w:ascii="David" w:hAnsi="David" w:cs="David"/>
          <w:sz w:val="24"/>
          <w:szCs w:val="24"/>
        </w:rPr>
        <w:lastRenderedPageBreak/>
        <w:t xml:space="preserve">Spire,” </w:t>
      </w:r>
      <w:r w:rsidRPr="00761733">
        <w:rPr>
          <w:rFonts w:ascii="David" w:hAnsi="David" w:cs="David"/>
          <w:i/>
          <w:iCs/>
          <w:sz w:val="24"/>
          <w:szCs w:val="24"/>
        </w:rPr>
        <w:t>Art Bulletin</w:t>
      </w:r>
      <w:r>
        <w:rPr>
          <w:rFonts w:ascii="David" w:hAnsi="David" w:cs="David"/>
          <w:sz w:val="24"/>
          <w:szCs w:val="24"/>
        </w:rPr>
        <w:t xml:space="preserve"> 85,</w:t>
      </w:r>
      <w:r w:rsidRPr="00761733">
        <w:rPr>
          <w:rFonts w:ascii="David" w:hAnsi="David" w:cs="David"/>
          <w:sz w:val="24"/>
          <w:szCs w:val="24"/>
        </w:rPr>
        <w:t xml:space="preserve"> </w:t>
      </w:r>
      <w:r>
        <w:rPr>
          <w:rFonts w:ascii="David" w:hAnsi="David" w:cs="David"/>
          <w:sz w:val="24"/>
          <w:szCs w:val="24"/>
        </w:rPr>
        <w:t xml:space="preserve">no. </w:t>
      </w:r>
      <w:r w:rsidRPr="00761733">
        <w:rPr>
          <w:rFonts w:ascii="David" w:hAnsi="David" w:cs="David"/>
          <w:sz w:val="24"/>
          <w:szCs w:val="24"/>
        </w:rPr>
        <w:t>1 (2003), 25</w:t>
      </w:r>
      <w:r>
        <w:rPr>
          <w:rFonts w:ascii="David" w:hAnsi="David" w:cs="David"/>
          <w:sz w:val="24"/>
          <w:szCs w:val="24"/>
        </w:rPr>
        <w:t>–</w:t>
      </w:r>
      <w:r w:rsidRPr="00761733">
        <w:rPr>
          <w:rFonts w:ascii="David" w:hAnsi="David" w:cs="David"/>
          <w:sz w:val="24"/>
          <w:szCs w:val="24"/>
        </w:rPr>
        <w:t>53</w:t>
      </w:r>
      <w:r w:rsidRPr="00761733">
        <w:rPr>
          <w:rFonts w:ascii="David" w:hAnsi="David" w:cs="David"/>
          <w:noProof/>
          <w:sz w:val="24"/>
          <w:szCs w:val="24"/>
        </w:rPr>
        <w:t>.</w:t>
      </w:r>
      <w:r w:rsidRPr="00FC0729">
        <w:rPr>
          <w:rFonts w:ascii="David" w:hAnsi="David" w:cs="David"/>
          <w:noProof/>
          <w:sz w:val="24"/>
          <w:szCs w:val="24"/>
        </w:rPr>
        <w:tab/>
      </w:r>
    </w:p>
    <w:p w:rsidR="00D350A6" w:rsidRPr="00FC0729"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60"/>
        <w:rPr>
          <w:rFonts w:ascii="David" w:hAnsi="David" w:cs="David"/>
          <w:noProof/>
          <w:sz w:val="24"/>
          <w:szCs w:val="24"/>
        </w:rPr>
      </w:pPr>
    </w:p>
    <w:p w:rsidR="00D350A6" w:rsidRPr="00076869" w:rsidRDefault="00D350A6" w:rsidP="00DC381B">
      <w:pPr>
        <w:numPr>
          <w:ilvl w:val="0"/>
          <w:numId w:val="1"/>
        </w:numPr>
        <w:spacing w:after="160" w:line="276" w:lineRule="auto"/>
        <w:contextualSpacing/>
        <w:rPr>
          <w:rFonts w:ascii="David" w:hAnsi="David" w:cs="David"/>
          <w:b/>
          <w:bCs/>
        </w:rPr>
      </w:pPr>
      <w:r>
        <w:rPr>
          <w:rFonts w:ascii="David" w:hAnsi="David" w:cs="David" w:hint="cs"/>
          <w:b/>
          <w:bCs/>
          <w:rtl/>
        </w:rPr>
        <w:t>ת</w:t>
      </w:r>
      <w:r w:rsidRPr="00076869">
        <w:rPr>
          <w:rFonts w:ascii="David" w:hAnsi="David" w:cs="David"/>
          <w:b/>
          <w:bCs/>
          <w:rtl/>
        </w:rPr>
        <w:t>וקפנות חזותית, או: מדוע אנו צרכני אלימות?</w:t>
      </w:r>
    </w:p>
    <w:p w:rsidR="00D350A6"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bidi/>
        <w:spacing w:line="276" w:lineRule="auto"/>
        <w:ind w:left="720" w:right="360"/>
        <w:rPr>
          <w:rFonts w:ascii="David" w:hAnsi="David" w:cs="David"/>
          <w:sz w:val="24"/>
          <w:szCs w:val="24"/>
        </w:rPr>
      </w:pPr>
      <w:r w:rsidRPr="00761733">
        <w:rPr>
          <w:rFonts w:ascii="David" w:hAnsi="David" w:cs="David"/>
          <w:sz w:val="24"/>
          <w:szCs w:val="24"/>
          <w:rtl/>
        </w:rPr>
        <w:t xml:space="preserve">אסף </w:t>
      </w:r>
      <w:proofErr w:type="spellStart"/>
      <w:r w:rsidRPr="00761733">
        <w:rPr>
          <w:rFonts w:ascii="David" w:hAnsi="David" w:cs="David"/>
          <w:sz w:val="24"/>
          <w:szCs w:val="24"/>
          <w:rtl/>
        </w:rPr>
        <w:t>פינקוס</w:t>
      </w:r>
      <w:proofErr w:type="spellEnd"/>
      <w:r w:rsidRPr="00761733">
        <w:rPr>
          <w:rFonts w:ascii="David" w:hAnsi="David" w:cs="David"/>
          <w:sz w:val="24"/>
          <w:szCs w:val="24"/>
          <w:rtl/>
        </w:rPr>
        <w:t xml:space="preserve">, "תוקפנות חזותית: אלימות וקדושה באמנות גרמניה של המאה הארבע-עשרה," </w:t>
      </w:r>
      <w:r w:rsidRPr="00761733">
        <w:rPr>
          <w:rStyle w:val="aa"/>
          <w:rFonts w:ascii="David" w:hAnsi="David" w:cs="David"/>
          <w:sz w:val="24"/>
          <w:szCs w:val="24"/>
          <w:rtl/>
        </w:rPr>
        <w:t>זמנים. רבעון להיסטוריה</w:t>
      </w:r>
      <w:r>
        <w:rPr>
          <w:rFonts w:ascii="David" w:hAnsi="David" w:cs="David"/>
          <w:sz w:val="24"/>
          <w:szCs w:val="24"/>
          <w:rtl/>
        </w:rPr>
        <w:t xml:space="preserve"> </w:t>
      </w:r>
      <w:r>
        <w:rPr>
          <w:rFonts w:ascii="David" w:hAnsi="David" w:cs="David" w:hint="cs"/>
          <w:sz w:val="24"/>
          <w:szCs w:val="24"/>
          <w:rtl/>
        </w:rPr>
        <w:t xml:space="preserve">118 </w:t>
      </w:r>
      <w:r>
        <w:rPr>
          <w:rFonts w:ascii="David" w:hAnsi="David" w:cs="David"/>
          <w:sz w:val="24"/>
          <w:szCs w:val="24"/>
          <w:rtl/>
        </w:rPr>
        <w:t>(2011)</w:t>
      </w:r>
      <w:r>
        <w:rPr>
          <w:rFonts w:ascii="David" w:hAnsi="David" w:cs="David" w:hint="cs"/>
          <w:sz w:val="24"/>
          <w:szCs w:val="24"/>
          <w:rtl/>
        </w:rPr>
        <w:t>: 32</w:t>
      </w:r>
      <w:r>
        <w:rPr>
          <w:rFonts w:ascii="David" w:hAnsi="David" w:cs="David"/>
          <w:sz w:val="24"/>
          <w:szCs w:val="24"/>
          <w:rtl/>
        </w:rPr>
        <w:t>–</w:t>
      </w:r>
      <w:r>
        <w:rPr>
          <w:rFonts w:ascii="David" w:hAnsi="David" w:cs="David" w:hint="cs"/>
          <w:sz w:val="24"/>
          <w:szCs w:val="24"/>
          <w:rtl/>
        </w:rPr>
        <w:t>41.</w:t>
      </w:r>
    </w:p>
    <w:p w:rsidR="00D350A6" w:rsidRPr="00761733" w:rsidRDefault="00D350A6" w:rsidP="00DC381B">
      <w:pPr>
        <w:pStyle w:val="QtxDos"/>
        <w:tabs>
          <w:tab w:val="left" w:pos="720"/>
          <w:tab w:val="left" w:pos="2160"/>
          <w:tab w:val="left" w:pos="2880"/>
          <w:tab w:val="left" w:pos="3600"/>
          <w:tab w:val="left" w:pos="4320"/>
          <w:tab w:val="left" w:pos="5040"/>
          <w:tab w:val="left" w:pos="5760"/>
          <w:tab w:val="left" w:pos="6480"/>
          <w:tab w:val="left" w:pos="7200"/>
          <w:tab w:val="left" w:pos="7920"/>
          <w:tab w:val="left" w:pos="8640"/>
        </w:tabs>
        <w:bidi/>
        <w:spacing w:line="276" w:lineRule="auto"/>
        <w:ind w:left="720" w:right="360"/>
        <w:rPr>
          <w:rFonts w:ascii="David" w:hAnsi="David" w:cs="David"/>
          <w:sz w:val="24"/>
          <w:szCs w:val="24"/>
        </w:rPr>
      </w:pPr>
    </w:p>
    <w:p w:rsidR="00D350A6" w:rsidRDefault="00D350A6" w:rsidP="00DC381B">
      <w:pPr>
        <w:bidi w:val="0"/>
        <w:spacing w:line="276" w:lineRule="auto"/>
      </w:pPr>
      <w:r w:rsidRPr="00D731BC">
        <w:t xml:space="preserve">Caroline Walker Bynum, “Violent Imagery in Late Medieval Piety,” </w:t>
      </w:r>
      <w:r w:rsidRPr="00665E81">
        <w:rPr>
          <w:i/>
          <w:iCs/>
        </w:rPr>
        <w:t>Bulletin of the German Historical Institute</w:t>
      </w:r>
      <w:r w:rsidRPr="00D731BC">
        <w:t xml:space="preserve"> 30 (2002): 3–36.</w:t>
      </w:r>
    </w:p>
    <w:p w:rsidR="00D350A6" w:rsidRDefault="00D350A6" w:rsidP="00DC381B">
      <w:pPr>
        <w:bidi w:val="0"/>
        <w:spacing w:line="276" w:lineRule="auto"/>
      </w:pPr>
    </w:p>
    <w:p w:rsidR="00D350A6" w:rsidRDefault="00D350A6" w:rsidP="00DC381B">
      <w:pPr>
        <w:bidi w:val="0"/>
        <w:spacing w:line="276" w:lineRule="auto"/>
        <w:rPr>
          <w:rFonts w:ascii="David" w:hAnsi="David" w:cs="David"/>
          <w:color w:val="000000"/>
        </w:rPr>
      </w:pPr>
      <w:r w:rsidRPr="00D731BC">
        <w:rPr>
          <w:rFonts w:ascii="David" w:hAnsi="David" w:cs="David"/>
          <w:color w:val="000000"/>
        </w:rPr>
        <w:t xml:space="preserve">Marla Carlson. “Spectator Responses to an Image of Violence: Seeing Apollonia,” </w:t>
      </w:r>
      <w:r w:rsidRPr="00665E81">
        <w:rPr>
          <w:rFonts w:ascii="David" w:hAnsi="David" w:cs="David"/>
          <w:i/>
          <w:iCs/>
          <w:color w:val="000000"/>
        </w:rPr>
        <w:t xml:space="preserve">Fifteenth Century Studies </w:t>
      </w:r>
      <w:r w:rsidRPr="00D731BC">
        <w:rPr>
          <w:rFonts w:ascii="David" w:hAnsi="David" w:cs="David"/>
          <w:color w:val="000000"/>
        </w:rPr>
        <w:t>27 (2002): 7–20.</w:t>
      </w:r>
    </w:p>
    <w:p w:rsidR="00D350A6" w:rsidRDefault="00D350A6" w:rsidP="00DC381B">
      <w:pPr>
        <w:bidi w:val="0"/>
        <w:spacing w:line="276" w:lineRule="auto"/>
        <w:rPr>
          <w:rFonts w:ascii="David" w:hAnsi="David" w:cs="David"/>
          <w:color w:val="000000"/>
        </w:rPr>
      </w:pPr>
    </w:p>
    <w:p w:rsidR="00D350A6" w:rsidRDefault="00D350A6" w:rsidP="00DC381B">
      <w:pPr>
        <w:bidi w:val="0"/>
        <w:spacing w:line="276" w:lineRule="auto"/>
      </w:pPr>
      <w:r>
        <w:rPr>
          <w:rFonts w:ascii="David" w:hAnsi="David" w:cs="David"/>
          <w:color w:val="000000"/>
        </w:rPr>
        <w:t>Martha Easton, “</w:t>
      </w:r>
      <w:r w:rsidRPr="00AE7759">
        <w:rPr>
          <w:rFonts w:ascii="David" w:hAnsi="David" w:cs="David"/>
          <w:color w:val="000000"/>
        </w:rPr>
        <w:t xml:space="preserve">Saint Agatha and the Sanctification of </w:t>
      </w:r>
      <w:r>
        <w:rPr>
          <w:rFonts w:ascii="David" w:hAnsi="David" w:cs="David"/>
          <w:color w:val="000000"/>
        </w:rPr>
        <w:t>Sexual Violence,”</w:t>
      </w:r>
      <w:r w:rsidRPr="00761733">
        <w:rPr>
          <w:rFonts w:ascii="David" w:hAnsi="David" w:cs="David"/>
          <w:color w:val="000000"/>
        </w:rPr>
        <w:t> </w:t>
      </w:r>
      <w:r>
        <w:rPr>
          <w:rFonts w:ascii="David" w:hAnsi="David" w:cs="David"/>
          <w:i/>
          <w:iCs/>
          <w:color w:val="000000"/>
        </w:rPr>
        <w:t xml:space="preserve">Studies </w:t>
      </w:r>
      <w:r w:rsidRPr="00AE7759">
        <w:rPr>
          <w:rFonts w:ascii="David" w:hAnsi="David" w:cs="David"/>
          <w:i/>
          <w:iCs/>
          <w:color w:val="000000"/>
        </w:rPr>
        <w:t>in</w:t>
      </w:r>
      <w:r w:rsidRPr="00761733">
        <w:rPr>
          <w:rFonts w:ascii="David" w:hAnsi="David" w:cs="David"/>
          <w:i/>
          <w:iCs/>
          <w:color w:val="000000"/>
        </w:rPr>
        <w:t> </w:t>
      </w:r>
      <w:r w:rsidRPr="00AE7759">
        <w:rPr>
          <w:rFonts w:ascii="David" w:hAnsi="David" w:cs="David"/>
          <w:i/>
          <w:iCs/>
          <w:color w:val="000000"/>
        </w:rPr>
        <w:t>Iconography</w:t>
      </w:r>
      <w:r w:rsidRPr="00761733">
        <w:rPr>
          <w:rFonts w:ascii="David" w:hAnsi="David" w:cs="David"/>
          <w:color w:val="000000"/>
        </w:rPr>
        <w:t> </w:t>
      </w:r>
      <w:r>
        <w:rPr>
          <w:rFonts w:ascii="David" w:hAnsi="David" w:cs="David"/>
          <w:color w:val="000000"/>
        </w:rPr>
        <w:t xml:space="preserve">16 (1994): </w:t>
      </w:r>
      <w:r w:rsidRPr="00AE7759">
        <w:rPr>
          <w:rFonts w:ascii="David" w:hAnsi="David" w:cs="David"/>
          <w:color w:val="000000"/>
        </w:rPr>
        <w:t>83</w:t>
      </w:r>
      <w:r>
        <w:rPr>
          <w:rFonts w:ascii="David" w:hAnsi="David" w:cs="David"/>
          <w:color w:val="000000"/>
        </w:rPr>
        <w:t>–</w:t>
      </w:r>
      <w:r w:rsidRPr="00AE7759">
        <w:rPr>
          <w:rFonts w:ascii="David" w:hAnsi="David" w:cs="David"/>
          <w:color w:val="000000"/>
        </w:rPr>
        <w:t>118.</w:t>
      </w:r>
      <w:r w:rsidRPr="00D731BC">
        <w:t xml:space="preserve"> </w:t>
      </w:r>
    </w:p>
    <w:p w:rsidR="00D350A6" w:rsidRPr="00CE60EF" w:rsidRDefault="00D350A6" w:rsidP="00DC381B">
      <w:pPr>
        <w:bidi w:val="0"/>
        <w:spacing w:line="276" w:lineRule="auto"/>
        <w:rPr>
          <w:rFonts w:ascii="David" w:hAnsi="David" w:cs="David"/>
        </w:rPr>
      </w:pPr>
    </w:p>
    <w:p w:rsidR="00D350A6" w:rsidRPr="00076869" w:rsidRDefault="00D350A6" w:rsidP="00DC381B">
      <w:pPr>
        <w:numPr>
          <w:ilvl w:val="0"/>
          <w:numId w:val="1"/>
        </w:numPr>
        <w:spacing w:after="160" w:line="276" w:lineRule="auto"/>
        <w:ind w:right="-284"/>
        <w:contextualSpacing/>
        <w:rPr>
          <w:rFonts w:ascii="David" w:hAnsi="David" w:cs="David"/>
          <w:b/>
          <w:bCs/>
        </w:rPr>
      </w:pPr>
      <w:r w:rsidRPr="00076869">
        <w:rPr>
          <w:rFonts w:ascii="David" w:hAnsi="David" w:cs="David"/>
          <w:b/>
          <w:bCs/>
          <w:rtl/>
        </w:rPr>
        <w:t>העין והרחם: הצצה בגופה של הקדושה, מהמאה ה-14 ועד לבובות אנטומיות במאה ה-19</w:t>
      </w: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pPr>
      <w:proofErr w:type="spellStart"/>
      <w:r w:rsidRPr="00761733">
        <w:rPr>
          <w:rFonts w:ascii="David" w:hAnsi="David" w:cs="David"/>
          <w:sz w:val="24"/>
          <w:szCs w:val="24"/>
        </w:rPr>
        <w:t>Elina</w:t>
      </w:r>
      <w:proofErr w:type="spellEnd"/>
      <w:r w:rsidRPr="00761733">
        <w:rPr>
          <w:rFonts w:ascii="David" w:hAnsi="David" w:cs="David"/>
          <w:sz w:val="24"/>
          <w:szCs w:val="24"/>
        </w:rPr>
        <w:t xml:space="preserve"> </w:t>
      </w:r>
      <w:proofErr w:type="spellStart"/>
      <w:r w:rsidRPr="00761733">
        <w:rPr>
          <w:rFonts w:ascii="David" w:hAnsi="David" w:cs="David"/>
          <w:sz w:val="24"/>
          <w:szCs w:val="24"/>
        </w:rPr>
        <w:t>Gertsman</w:t>
      </w:r>
      <w:proofErr w:type="spellEnd"/>
      <w:r w:rsidRPr="00761733">
        <w:rPr>
          <w:rFonts w:ascii="David" w:hAnsi="David" w:cs="David"/>
          <w:b/>
          <w:bCs/>
          <w:sz w:val="24"/>
          <w:szCs w:val="24"/>
        </w:rPr>
        <w:t xml:space="preserve">, </w:t>
      </w:r>
      <w:r>
        <w:rPr>
          <w:rFonts w:ascii="David" w:hAnsi="David" w:cs="David"/>
          <w:sz w:val="24"/>
          <w:szCs w:val="24"/>
        </w:rPr>
        <w:t>“</w:t>
      </w:r>
      <w:r w:rsidRPr="00761733">
        <w:rPr>
          <w:rFonts w:ascii="David" w:hAnsi="David" w:cs="David"/>
          <w:sz w:val="24"/>
          <w:szCs w:val="24"/>
        </w:rPr>
        <w:t>Performing Birth, Enacting Death: Unstable Bodies in</w:t>
      </w:r>
      <w:r w:rsidRPr="00761733">
        <w:rPr>
          <w:rFonts w:ascii="David" w:hAnsi="David" w:cs="David"/>
          <w:b/>
          <w:bCs/>
          <w:sz w:val="24"/>
          <w:szCs w:val="24"/>
        </w:rPr>
        <w:t xml:space="preserve"> </w:t>
      </w:r>
      <w:r>
        <w:rPr>
          <w:rFonts w:ascii="David" w:hAnsi="David" w:cs="David"/>
          <w:sz w:val="24"/>
          <w:szCs w:val="24"/>
        </w:rPr>
        <w:t xml:space="preserve">Late </w:t>
      </w:r>
      <w:proofErr w:type="spellStart"/>
      <w:r>
        <w:rPr>
          <w:rFonts w:ascii="David" w:hAnsi="David" w:cs="David"/>
          <w:sz w:val="24"/>
          <w:szCs w:val="24"/>
        </w:rPr>
        <w:t>MedievalDevotion</w:t>
      </w:r>
      <w:proofErr w:type="spellEnd"/>
      <w:r>
        <w:rPr>
          <w:rFonts w:ascii="David" w:hAnsi="David" w:cs="David"/>
          <w:sz w:val="24"/>
          <w:szCs w:val="24"/>
        </w:rPr>
        <w:t>,”</w:t>
      </w:r>
      <w:r w:rsidRPr="00761733">
        <w:rPr>
          <w:rFonts w:ascii="David" w:hAnsi="David" w:cs="David"/>
          <w:sz w:val="24"/>
          <w:szCs w:val="24"/>
        </w:rPr>
        <w:t xml:space="preserve"> in</w:t>
      </w:r>
      <w:r w:rsidRPr="00BC5B9A">
        <w:rPr>
          <w:rFonts w:ascii="David" w:hAnsi="David" w:cs="David"/>
          <w:i/>
          <w:iCs/>
          <w:sz w:val="24"/>
          <w:szCs w:val="24"/>
        </w:rPr>
        <w:t xml:space="preserve"> </w:t>
      </w:r>
      <w:r w:rsidRPr="00761733">
        <w:rPr>
          <w:rFonts w:ascii="David" w:hAnsi="David" w:cs="David"/>
          <w:i/>
          <w:iCs/>
          <w:sz w:val="24"/>
          <w:szCs w:val="24"/>
        </w:rPr>
        <w:t>Visualizing Medieval Performance</w:t>
      </w:r>
      <w:r w:rsidRPr="00761733">
        <w:rPr>
          <w:rFonts w:ascii="David" w:hAnsi="David" w:cs="David"/>
          <w:sz w:val="24"/>
          <w:szCs w:val="24"/>
        </w:rPr>
        <w:t xml:space="preserve">, ed. </w:t>
      </w:r>
      <w:proofErr w:type="spellStart"/>
      <w:r w:rsidRPr="00761733">
        <w:rPr>
          <w:rFonts w:ascii="David" w:hAnsi="David" w:cs="David"/>
          <w:sz w:val="24"/>
          <w:szCs w:val="24"/>
        </w:rPr>
        <w:t>Elina</w:t>
      </w:r>
      <w:proofErr w:type="spellEnd"/>
      <w:r w:rsidRPr="00761733">
        <w:rPr>
          <w:rFonts w:ascii="David" w:hAnsi="David" w:cs="David"/>
          <w:sz w:val="24"/>
          <w:szCs w:val="24"/>
        </w:rPr>
        <w:t xml:space="preserve"> </w:t>
      </w:r>
      <w:proofErr w:type="spellStart"/>
      <w:r w:rsidRPr="00761733">
        <w:rPr>
          <w:rFonts w:ascii="David" w:hAnsi="David" w:cs="David"/>
          <w:sz w:val="24"/>
          <w:szCs w:val="24"/>
        </w:rPr>
        <w:t>Gertsman</w:t>
      </w:r>
      <w:proofErr w:type="spellEnd"/>
      <w:r w:rsidRPr="00761733">
        <w:rPr>
          <w:rFonts w:ascii="David" w:hAnsi="David" w:cs="David"/>
          <w:sz w:val="24"/>
          <w:szCs w:val="24"/>
        </w:rPr>
        <w:t xml:space="preserve"> (</w:t>
      </w:r>
      <w:proofErr w:type="spellStart"/>
      <w:r w:rsidRPr="00761733">
        <w:rPr>
          <w:rStyle w:val="apple-style-span"/>
          <w:rFonts w:ascii="David" w:hAnsi="David" w:cs="David"/>
          <w:sz w:val="24"/>
          <w:szCs w:val="24"/>
        </w:rPr>
        <w:t>Aldershot</w:t>
      </w:r>
      <w:proofErr w:type="spellEnd"/>
      <w:r>
        <w:rPr>
          <w:rStyle w:val="apple-style-span"/>
          <w:rFonts w:ascii="David" w:hAnsi="David" w:cs="David"/>
          <w:sz w:val="24"/>
          <w:szCs w:val="24"/>
        </w:rPr>
        <w:t xml:space="preserve">: </w:t>
      </w:r>
      <w:proofErr w:type="spellStart"/>
      <w:r>
        <w:rPr>
          <w:rStyle w:val="apple-style-span"/>
          <w:rFonts w:ascii="David" w:hAnsi="David" w:cs="David"/>
          <w:sz w:val="24"/>
          <w:szCs w:val="24"/>
        </w:rPr>
        <w:t>Ashgate</w:t>
      </w:r>
      <w:proofErr w:type="spellEnd"/>
      <w:r>
        <w:rPr>
          <w:rStyle w:val="apple-style-span"/>
          <w:rFonts w:ascii="David" w:hAnsi="David" w:cs="David"/>
          <w:sz w:val="24"/>
          <w:szCs w:val="24"/>
        </w:rPr>
        <w:t xml:space="preserve">, </w:t>
      </w:r>
      <w:r w:rsidRPr="00761733">
        <w:rPr>
          <w:rFonts w:ascii="David" w:hAnsi="David" w:cs="David"/>
          <w:sz w:val="24"/>
          <w:szCs w:val="24"/>
        </w:rPr>
        <w:t xml:space="preserve">2008), </w:t>
      </w:r>
      <w:r>
        <w:rPr>
          <w:rFonts w:ascii="David" w:hAnsi="David" w:cs="David"/>
          <w:sz w:val="24"/>
          <w:szCs w:val="24"/>
        </w:rPr>
        <w:t>83–104.</w:t>
      </w:r>
      <w:r w:rsidRPr="00662C86">
        <w:t xml:space="preserve"> </w:t>
      </w: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r w:rsidRPr="008E6909">
        <w:rPr>
          <w:rFonts w:ascii="David" w:hAnsi="David" w:cs="David"/>
          <w:sz w:val="24"/>
          <w:szCs w:val="24"/>
        </w:rPr>
        <w:t>June L. Mech</w:t>
      </w:r>
      <w:r>
        <w:rPr>
          <w:rFonts w:ascii="David" w:hAnsi="David" w:cs="David"/>
          <w:sz w:val="24"/>
          <w:szCs w:val="24"/>
        </w:rPr>
        <w:t>a</w:t>
      </w:r>
      <w:r w:rsidRPr="008E6909">
        <w:rPr>
          <w:rFonts w:ascii="David" w:hAnsi="David" w:cs="David"/>
          <w:sz w:val="24"/>
          <w:szCs w:val="24"/>
        </w:rPr>
        <w:t xml:space="preserve">m, “A Northern Jerusalem: Transforming the Spatial Geography of the Convent of </w:t>
      </w:r>
      <w:proofErr w:type="spellStart"/>
      <w:r w:rsidRPr="008E6909">
        <w:rPr>
          <w:rFonts w:ascii="David" w:hAnsi="David" w:cs="David"/>
          <w:sz w:val="24"/>
          <w:szCs w:val="24"/>
        </w:rPr>
        <w:t>Wienhausen</w:t>
      </w:r>
      <w:proofErr w:type="spellEnd"/>
      <w:r w:rsidRPr="008E6909">
        <w:rPr>
          <w:rFonts w:ascii="David" w:hAnsi="David" w:cs="David"/>
          <w:sz w:val="24"/>
          <w:szCs w:val="24"/>
        </w:rPr>
        <w:t xml:space="preserve">,” in </w:t>
      </w:r>
      <w:r w:rsidRPr="008E6909">
        <w:rPr>
          <w:rFonts w:ascii="David" w:hAnsi="David" w:cs="David"/>
          <w:i/>
          <w:iCs/>
          <w:sz w:val="24"/>
          <w:szCs w:val="24"/>
        </w:rPr>
        <w:t>Defining the Holy: Sacr</w:t>
      </w:r>
      <w:r>
        <w:rPr>
          <w:rFonts w:ascii="David" w:hAnsi="David" w:cs="David"/>
          <w:i/>
          <w:iCs/>
          <w:sz w:val="24"/>
          <w:szCs w:val="24"/>
        </w:rPr>
        <w:t>ed Space in Medieval and E</w:t>
      </w:r>
      <w:r w:rsidRPr="008E6909">
        <w:rPr>
          <w:rFonts w:ascii="David" w:hAnsi="David" w:cs="David"/>
          <w:i/>
          <w:iCs/>
          <w:sz w:val="24"/>
          <w:szCs w:val="24"/>
        </w:rPr>
        <w:t>arly Modern Europe,</w:t>
      </w:r>
      <w:r w:rsidRPr="008E6909">
        <w:rPr>
          <w:rFonts w:ascii="David" w:hAnsi="David" w:cs="David"/>
          <w:sz w:val="24"/>
          <w:szCs w:val="24"/>
        </w:rPr>
        <w:t xml:space="preserve"> ed. Andrew Spicer and Sarah Hamilton (Burlington: Ashgate,</w:t>
      </w:r>
      <w:r>
        <w:rPr>
          <w:rFonts w:ascii="David" w:hAnsi="David" w:cs="David"/>
          <w:sz w:val="24"/>
          <w:szCs w:val="24"/>
        </w:rPr>
        <w:t xml:space="preserve"> </w:t>
      </w:r>
      <w:r w:rsidRPr="008E6909">
        <w:rPr>
          <w:rFonts w:ascii="David" w:hAnsi="David" w:cs="David"/>
          <w:sz w:val="24"/>
          <w:szCs w:val="24"/>
        </w:rPr>
        <w:t>2005), 139–60.</w:t>
      </w: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r>
        <w:rPr>
          <w:rFonts w:ascii="David" w:hAnsi="David" w:cs="David"/>
          <w:sz w:val="24"/>
          <w:szCs w:val="24"/>
        </w:rPr>
        <w:t>June L.</w:t>
      </w:r>
      <w:r w:rsidRPr="00D34E17">
        <w:rPr>
          <w:rFonts w:ascii="David" w:hAnsi="David" w:cs="David"/>
          <w:sz w:val="24"/>
          <w:szCs w:val="24"/>
        </w:rPr>
        <w:t xml:space="preserve"> Me</w:t>
      </w:r>
      <w:r>
        <w:rPr>
          <w:rFonts w:ascii="David" w:hAnsi="David" w:cs="David"/>
          <w:sz w:val="24"/>
          <w:szCs w:val="24"/>
        </w:rPr>
        <w:t xml:space="preserve">cham, </w:t>
      </w:r>
      <w:r w:rsidRPr="00D34E17">
        <w:rPr>
          <w:rFonts w:ascii="David" w:hAnsi="David" w:cs="David"/>
          <w:i/>
          <w:iCs/>
          <w:sz w:val="24"/>
          <w:szCs w:val="24"/>
        </w:rPr>
        <w:t>Sacred Communities, Shared Devotion: Gender, Material Culture, and Monasticism in late Medieval Germany</w:t>
      </w:r>
      <w:r>
        <w:rPr>
          <w:rFonts w:ascii="David" w:hAnsi="David" w:cs="David"/>
          <w:sz w:val="24"/>
          <w:szCs w:val="24"/>
        </w:rPr>
        <w:t xml:space="preserve"> (</w:t>
      </w:r>
      <w:proofErr w:type="spellStart"/>
      <w:r w:rsidRPr="00D34E17">
        <w:rPr>
          <w:rFonts w:ascii="David" w:hAnsi="David" w:cs="David"/>
          <w:sz w:val="24"/>
          <w:szCs w:val="24"/>
        </w:rPr>
        <w:t>Turnhout</w:t>
      </w:r>
      <w:proofErr w:type="spellEnd"/>
      <w:r w:rsidRPr="00D34E17">
        <w:rPr>
          <w:rFonts w:ascii="David" w:hAnsi="David" w:cs="David"/>
          <w:sz w:val="24"/>
          <w:szCs w:val="24"/>
        </w:rPr>
        <w:t xml:space="preserve">: </w:t>
      </w:r>
      <w:proofErr w:type="spellStart"/>
      <w:r w:rsidRPr="00D34E17">
        <w:rPr>
          <w:rFonts w:ascii="David" w:hAnsi="David" w:cs="David"/>
          <w:sz w:val="24"/>
          <w:szCs w:val="24"/>
        </w:rPr>
        <w:t>Brepols</w:t>
      </w:r>
      <w:proofErr w:type="spellEnd"/>
      <w:r>
        <w:rPr>
          <w:rFonts w:ascii="David" w:hAnsi="David" w:cs="David"/>
          <w:sz w:val="24"/>
          <w:szCs w:val="24"/>
        </w:rPr>
        <w:t>)</w:t>
      </w:r>
      <w:r w:rsidRPr="00D34E17">
        <w:rPr>
          <w:rFonts w:ascii="David" w:hAnsi="David" w:cs="David"/>
          <w:sz w:val="24"/>
          <w:szCs w:val="24"/>
        </w:rPr>
        <w:t>, 2014.</w:t>
      </w: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Pr>
      </w:pPr>
    </w:p>
    <w:p w:rsidR="00D350A6"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sz w:val="24"/>
          <w:szCs w:val="24"/>
          <w:rtl/>
        </w:rPr>
      </w:pPr>
      <w:r>
        <w:rPr>
          <w:rFonts w:ascii="David" w:hAnsi="David" w:cs="David"/>
          <w:sz w:val="24"/>
          <w:szCs w:val="24"/>
        </w:rPr>
        <w:t>Melissa R Katz,</w:t>
      </w:r>
      <w:r w:rsidRPr="00662C86">
        <w:rPr>
          <w:rFonts w:ascii="David" w:hAnsi="David" w:cs="David"/>
          <w:sz w:val="24"/>
          <w:szCs w:val="24"/>
        </w:rPr>
        <w:t xml:space="preserve"> “Behind Closed Doors: Distributed Bodies, H</w:t>
      </w:r>
      <w:r>
        <w:rPr>
          <w:rFonts w:ascii="David" w:hAnsi="David" w:cs="David"/>
          <w:sz w:val="24"/>
          <w:szCs w:val="24"/>
        </w:rPr>
        <w:t xml:space="preserve">idden Interiors, and Corporeal </w:t>
      </w:r>
      <w:r w:rsidRPr="00662C86">
        <w:rPr>
          <w:rFonts w:ascii="David" w:hAnsi="David" w:cs="David"/>
          <w:sz w:val="24"/>
          <w:szCs w:val="24"/>
        </w:rPr>
        <w:t xml:space="preserve">Erasure in </w:t>
      </w:r>
      <w:proofErr w:type="spellStart"/>
      <w:r w:rsidRPr="00662C86">
        <w:rPr>
          <w:rFonts w:ascii="David" w:hAnsi="David" w:cs="David"/>
          <w:sz w:val="24"/>
          <w:szCs w:val="24"/>
        </w:rPr>
        <w:t>Vierge</w:t>
      </w:r>
      <w:proofErr w:type="spellEnd"/>
      <w:r w:rsidRPr="00662C86">
        <w:rPr>
          <w:rFonts w:ascii="David" w:hAnsi="David" w:cs="David"/>
          <w:sz w:val="24"/>
          <w:szCs w:val="24"/>
        </w:rPr>
        <w:t xml:space="preserve"> </w:t>
      </w:r>
      <w:proofErr w:type="spellStart"/>
      <w:r w:rsidRPr="00662C86">
        <w:rPr>
          <w:rFonts w:ascii="David" w:hAnsi="David" w:cs="David"/>
          <w:sz w:val="24"/>
          <w:szCs w:val="24"/>
        </w:rPr>
        <w:t>ouvrante</w:t>
      </w:r>
      <w:proofErr w:type="spellEnd"/>
      <w:r w:rsidRPr="00662C86">
        <w:rPr>
          <w:rFonts w:ascii="David" w:hAnsi="David" w:cs="David"/>
          <w:sz w:val="24"/>
          <w:szCs w:val="24"/>
        </w:rPr>
        <w:t xml:space="preserve"> Sculpture," </w:t>
      </w:r>
      <w:r w:rsidRPr="00665E81">
        <w:rPr>
          <w:rFonts w:ascii="David" w:hAnsi="David" w:cs="David"/>
          <w:i/>
          <w:iCs/>
          <w:sz w:val="24"/>
          <w:szCs w:val="24"/>
        </w:rPr>
        <w:t xml:space="preserve">Res </w:t>
      </w:r>
      <w:r w:rsidRPr="00662C86">
        <w:rPr>
          <w:rFonts w:ascii="David" w:hAnsi="David" w:cs="David"/>
          <w:sz w:val="24"/>
          <w:szCs w:val="24"/>
        </w:rPr>
        <w:t>55/56 (2009): 194</w:t>
      </w:r>
      <w:r>
        <w:rPr>
          <w:rFonts w:ascii="David" w:hAnsi="David" w:cs="David"/>
          <w:sz w:val="24"/>
          <w:szCs w:val="24"/>
        </w:rPr>
        <w:t>–</w:t>
      </w:r>
      <w:r w:rsidRPr="00662C86">
        <w:rPr>
          <w:rFonts w:ascii="David" w:hAnsi="David" w:cs="David"/>
          <w:sz w:val="24"/>
          <w:szCs w:val="24"/>
        </w:rPr>
        <w:t>221.</w:t>
      </w:r>
    </w:p>
    <w:p w:rsidR="00D350A6" w:rsidRPr="008E6909" w:rsidRDefault="00D350A6" w:rsidP="00DC381B">
      <w:pPr>
        <w:pStyle w:val="QtxDo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357"/>
        <w:rPr>
          <w:rFonts w:ascii="David" w:hAnsi="David" w:cs="David"/>
          <w:i/>
          <w:iCs/>
          <w:sz w:val="24"/>
          <w:szCs w:val="24"/>
        </w:rPr>
      </w:pPr>
    </w:p>
    <w:p w:rsidR="00D350A6" w:rsidRPr="00662C86" w:rsidRDefault="00D350A6" w:rsidP="00DC381B">
      <w:pPr>
        <w:pStyle w:val="QtxDo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276" w:lineRule="auto"/>
        <w:ind w:right="357"/>
        <w:rPr>
          <w:rFonts w:ascii="David" w:hAnsi="David" w:cs="David"/>
          <w:sz w:val="24"/>
          <w:szCs w:val="24"/>
        </w:rPr>
      </w:pPr>
      <w:r w:rsidRPr="00076869">
        <w:rPr>
          <w:rFonts w:ascii="David" w:hAnsi="David" w:cs="David"/>
          <w:b/>
          <w:bCs/>
          <w:sz w:val="24"/>
          <w:szCs w:val="24"/>
          <w:rtl/>
        </w:rPr>
        <w:t xml:space="preserve">הענק מברמן: פסלי </w:t>
      </w:r>
      <w:proofErr w:type="spellStart"/>
      <w:r w:rsidRPr="00076869">
        <w:rPr>
          <w:rFonts w:ascii="David" w:hAnsi="David" w:cs="David"/>
          <w:b/>
          <w:bCs/>
          <w:sz w:val="24"/>
          <w:szCs w:val="24"/>
          <w:rtl/>
        </w:rPr>
        <w:t>הקולוסוס</w:t>
      </w:r>
      <w:proofErr w:type="spellEnd"/>
      <w:r w:rsidRPr="00076869">
        <w:rPr>
          <w:rFonts w:ascii="David" w:hAnsi="David" w:cs="David"/>
          <w:b/>
          <w:bCs/>
          <w:sz w:val="24"/>
          <w:szCs w:val="24"/>
          <w:rtl/>
        </w:rPr>
        <w:t xml:space="preserve"> </w:t>
      </w:r>
      <w:proofErr w:type="spellStart"/>
      <w:r w:rsidRPr="00076869">
        <w:rPr>
          <w:rFonts w:ascii="David" w:hAnsi="David" w:cs="David"/>
          <w:b/>
          <w:bCs/>
          <w:sz w:val="24"/>
          <w:szCs w:val="24"/>
          <w:rtl/>
        </w:rPr>
        <w:t>רולנד</w:t>
      </w:r>
      <w:proofErr w:type="spellEnd"/>
      <w:r w:rsidRPr="00076869">
        <w:rPr>
          <w:rFonts w:ascii="David" w:hAnsi="David" w:cs="David"/>
          <w:b/>
          <w:bCs/>
          <w:sz w:val="24"/>
          <w:szCs w:val="24"/>
          <w:rtl/>
        </w:rPr>
        <w:t xml:space="preserve"> ורובוטים אחרים</w:t>
      </w:r>
    </w:p>
    <w:p w:rsidR="00D350A6" w:rsidRDefault="00D350A6" w:rsidP="00DC381B">
      <w:pPr>
        <w:bidi w:val="0"/>
        <w:spacing w:after="120" w:line="276" w:lineRule="auto"/>
        <w:rPr>
          <w:rFonts w:cs="David"/>
          <w:sz w:val="22"/>
        </w:rPr>
      </w:pPr>
      <w:r>
        <w:rPr>
          <w:rFonts w:cs="David"/>
          <w:sz w:val="22"/>
        </w:rPr>
        <w:t>Assaf Pinkus, “</w:t>
      </w:r>
      <w:r w:rsidRPr="00154A79">
        <w:rPr>
          <w:rFonts w:cs="David"/>
          <w:sz w:val="22"/>
        </w:rPr>
        <w:t>The Giant of Bremen: Roland and the “Colossus Imagination</w:t>
      </w:r>
      <w:r>
        <w:rPr>
          <w:rFonts w:cs="David"/>
          <w:sz w:val="22"/>
        </w:rPr>
        <w:t>,</w:t>
      </w:r>
      <w:r w:rsidRPr="00154A79">
        <w:rPr>
          <w:rFonts w:cs="David"/>
          <w:sz w:val="22"/>
        </w:rPr>
        <w:t>”</w:t>
      </w:r>
      <w:r>
        <w:rPr>
          <w:rFonts w:cs="David"/>
          <w:sz w:val="22"/>
        </w:rPr>
        <w:t xml:space="preserve"> </w:t>
      </w:r>
      <w:r w:rsidRPr="00154A79">
        <w:rPr>
          <w:rFonts w:cs="David"/>
          <w:i/>
          <w:iCs/>
          <w:sz w:val="22"/>
        </w:rPr>
        <w:t>Speculum</w:t>
      </w:r>
      <w:r>
        <w:rPr>
          <w:rFonts w:cs="David"/>
          <w:sz w:val="22"/>
        </w:rPr>
        <w:t xml:space="preserve"> (2018, forthcoming).</w:t>
      </w:r>
    </w:p>
    <w:p w:rsidR="00144A93" w:rsidRDefault="00D350A6" w:rsidP="00DC381B">
      <w:pPr>
        <w:bidi w:val="0"/>
        <w:spacing w:after="120" w:line="276" w:lineRule="auto"/>
      </w:pPr>
      <w:r>
        <w:rPr>
          <w:rFonts w:cs="David"/>
          <w:sz w:val="22"/>
        </w:rPr>
        <w:t xml:space="preserve">Christopher Wood, </w:t>
      </w:r>
      <w:r w:rsidRPr="002158DF">
        <w:rPr>
          <w:rFonts w:cs="David"/>
          <w:i/>
          <w:iCs/>
          <w:sz w:val="22"/>
        </w:rPr>
        <w:t>Forgery, Replica, Fiction: Temporalities</w:t>
      </w:r>
      <w:r w:rsidRPr="00E04650">
        <w:rPr>
          <w:rFonts w:cs="David"/>
          <w:i/>
          <w:iCs/>
          <w:sz w:val="22"/>
        </w:rPr>
        <w:t xml:space="preserve"> of German Renaissance Art</w:t>
      </w:r>
      <w:r>
        <w:rPr>
          <w:rFonts w:cs="David"/>
          <w:sz w:val="22"/>
        </w:rPr>
        <w:t xml:space="preserve"> (Chicago: University of Chicago Press, 2008), 164–93.</w:t>
      </w:r>
      <w:r w:rsidR="00DC381B">
        <w:t xml:space="preserve"> </w:t>
      </w:r>
    </w:p>
    <w:p w:rsidR="00A90047" w:rsidRPr="00144A93" w:rsidRDefault="00A90047" w:rsidP="00144A93"/>
    <w:sectPr w:rsidR="00A90047" w:rsidRPr="00144A93" w:rsidSect="00AF4BCF">
      <w:headerReference w:type="even" r:id="rId8"/>
      <w:headerReference w:type="default" r:id="rId9"/>
      <w:footerReference w:type="even" r:id="rId10"/>
      <w:footerReference w:type="default" r:id="rId11"/>
      <w:headerReference w:type="first" r:id="rId12"/>
      <w:footerReference w:type="first" r:id="rId13"/>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9B" w:rsidRDefault="00143A9B">
      <w:r>
        <w:separator/>
      </w:r>
    </w:p>
  </w:endnote>
  <w:endnote w:type="continuationSeparator" w:id="0">
    <w:p w:rsidR="00143A9B" w:rsidRDefault="001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hbar Simplified MT">
    <w:altName w:val="Times New Roman"/>
    <w:panose1 w:val="00000000000000000000"/>
    <w:charset w:val="00"/>
    <w:family w:val="auto"/>
    <w:notTrueType/>
    <w:pitch w:val="default"/>
    <w:sig w:usb0="00001803" w:usb1="00000000" w:usb2="00000000" w:usb3="00000000" w:csb0="00000021" w:csb1="00000000"/>
  </w:font>
  <w:font w:name="QMiriam">
    <w:panose1 w:val="00000000000000000000"/>
    <w:charset w:val="02"/>
    <w:family w:val="auto"/>
    <w:notTrueType/>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David-Reg">
    <w:altName w:val="Times New Roman"/>
    <w:panose1 w:val="00000000000000000000"/>
    <w:charset w:val="B1"/>
    <w:family w:val="auto"/>
    <w:notTrueType/>
    <w:pitch w:val="default"/>
    <w:sig w:usb0="00001801" w:usb1="00000000" w:usb2="00000000" w:usb3="00000000" w:csb0="00000020" w:csb1="00000000"/>
  </w:font>
  <w:font w:name="David-Bold">
    <w:panose1 w:val="00000000000000000000"/>
    <w:charset w:val="B1"/>
    <w:family w:val="auto"/>
    <w:notTrueType/>
    <w:pitch w:val="default"/>
    <w:sig w:usb0="00001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9B" w:rsidRDefault="00143A9B">
      <w:r>
        <w:separator/>
      </w:r>
    </w:p>
  </w:footnote>
  <w:footnote w:type="continuationSeparator" w:id="0">
    <w:p w:rsidR="00143A9B" w:rsidRDefault="0014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51AA2"/>
    <w:multiLevelType w:val="hybridMultilevel"/>
    <w:tmpl w:val="92D23106"/>
    <w:lvl w:ilvl="0" w:tplc="0518D1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126AC5"/>
    <w:rsid w:val="00143A9B"/>
    <w:rsid w:val="00144A93"/>
    <w:rsid w:val="001D5BD8"/>
    <w:rsid w:val="00295449"/>
    <w:rsid w:val="002F3128"/>
    <w:rsid w:val="00304F79"/>
    <w:rsid w:val="00441628"/>
    <w:rsid w:val="004E223A"/>
    <w:rsid w:val="00500DF5"/>
    <w:rsid w:val="005C6CA9"/>
    <w:rsid w:val="00666D66"/>
    <w:rsid w:val="006B0F38"/>
    <w:rsid w:val="00736832"/>
    <w:rsid w:val="008045B6"/>
    <w:rsid w:val="00857DCC"/>
    <w:rsid w:val="008A0D95"/>
    <w:rsid w:val="008A3D86"/>
    <w:rsid w:val="00A90047"/>
    <w:rsid w:val="00AC30CB"/>
    <w:rsid w:val="00AF4BCF"/>
    <w:rsid w:val="00B26091"/>
    <w:rsid w:val="00B4223E"/>
    <w:rsid w:val="00B42D3C"/>
    <w:rsid w:val="00B57BCE"/>
    <w:rsid w:val="00B7675C"/>
    <w:rsid w:val="00C26E57"/>
    <w:rsid w:val="00D350A6"/>
    <w:rsid w:val="00DC381B"/>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CD2314"/>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character" w:customStyle="1" w:styleId="apple-style-span">
    <w:name w:val="apple-style-span"/>
    <w:basedOn w:val="a0"/>
    <w:rsid w:val="00D350A6"/>
  </w:style>
  <w:style w:type="paragraph" w:customStyle="1" w:styleId="QtxDos">
    <w:name w:val="QtxDos"/>
    <w:rsid w:val="00D350A6"/>
    <w:pPr>
      <w:widowControl w:val="0"/>
    </w:pPr>
    <w:rPr>
      <w:rFonts w:ascii="Arial" w:hAnsi="Akhbar Simplified MT" w:cs="QMiriam"/>
      <w:snapToGrid w:val="0"/>
      <w:lang w:eastAsia="he-IL"/>
    </w:rPr>
  </w:style>
  <w:style w:type="paragraph" w:styleId="a8">
    <w:name w:val="Body Text"/>
    <w:basedOn w:val="a"/>
    <w:link w:val="a9"/>
    <w:rsid w:val="00D350A6"/>
    <w:pPr>
      <w:bidi w:val="0"/>
      <w:spacing w:line="360" w:lineRule="auto"/>
    </w:pPr>
    <w:rPr>
      <w:rFonts w:ascii="Arial" w:hAnsi="Arial" w:cs="David"/>
      <w:noProof/>
      <w:szCs w:val="26"/>
    </w:rPr>
  </w:style>
  <w:style w:type="character" w:customStyle="1" w:styleId="a9">
    <w:name w:val="גוף טקסט תו"/>
    <w:basedOn w:val="a0"/>
    <w:link w:val="a8"/>
    <w:rsid w:val="00D350A6"/>
    <w:rPr>
      <w:rFonts w:ascii="Arial" w:hAnsi="Arial" w:cs="David"/>
      <w:noProof/>
      <w:sz w:val="24"/>
      <w:szCs w:val="26"/>
      <w:lang w:eastAsia="he-IL"/>
    </w:rPr>
  </w:style>
  <w:style w:type="character" w:styleId="aa">
    <w:name w:val="Emphasis"/>
    <w:uiPriority w:val="20"/>
    <w:qFormat/>
    <w:rsid w:val="00D350A6"/>
    <w:rPr>
      <w:i/>
      <w:iCs/>
    </w:rPr>
  </w:style>
  <w:style w:type="character" w:customStyle="1" w:styleId="apple-converted-space">
    <w:name w:val="apple-converted-space"/>
    <w:basedOn w:val="a0"/>
    <w:rsid w:val="00D3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inkusas@post.tau.ac.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6317</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Einat Peled</cp:lastModifiedBy>
  <cp:revision>2</cp:revision>
  <cp:lastPrinted>2017-03-05T14:51:00Z</cp:lastPrinted>
  <dcterms:created xsi:type="dcterms:W3CDTF">2022-09-07T05:26:00Z</dcterms:created>
  <dcterms:modified xsi:type="dcterms:W3CDTF">2022-09-07T05:26:00Z</dcterms:modified>
</cp:coreProperties>
</file>